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6D" w:rsidRPr="00DF2181" w:rsidRDefault="007F5AD4" w:rsidP="00765FD8">
      <w:pPr>
        <w:tabs>
          <w:tab w:val="left" w:pos="2310"/>
        </w:tabs>
        <w:spacing w:line="260" w:lineRule="atLeast"/>
        <w:jc w:val="center"/>
        <w:rPr>
          <w:b/>
          <w:sz w:val="21"/>
          <w:szCs w:val="21"/>
        </w:rPr>
      </w:pPr>
      <w:r>
        <w:rPr>
          <w:b/>
          <w:sz w:val="21"/>
          <w:szCs w:val="21"/>
        </w:rPr>
        <w:t>STAFFORD FUELS LIMITED</w:t>
      </w:r>
    </w:p>
    <w:p w:rsidR="00F3296D" w:rsidRPr="00DF2181" w:rsidRDefault="00F3296D" w:rsidP="00F3296D">
      <w:pPr>
        <w:spacing w:line="260" w:lineRule="atLeast"/>
        <w:jc w:val="center"/>
        <w:rPr>
          <w:b/>
          <w:sz w:val="21"/>
          <w:szCs w:val="21"/>
        </w:rPr>
      </w:pPr>
    </w:p>
    <w:p w:rsidR="00DF2181" w:rsidRPr="00DF2181" w:rsidRDefault="00DF2181" w:rsidP="00DF2181">
      <w:pPr>
        <w:jc w:val="center"/>
        <w:rPr>
          <w:b/>
          <w:sz w:val="21"/>
          <w:szCs w:val="21"/>
        </w:rPr>
      </w:pPr>
      <w:r w:rsidRPr="00DF2181">
        <w:rPr>
          <w:b/>
          <w:sz w:val="21"/>
          <w:szCs w:val="21"/>
        </w:rPr>
        <w:t>STAFF DATA PROCESSING NOTICE</w:t>
      </w:r>
    </w:p>
    <w:p w:rsidR="00DF2181" w:rsidRPr="00DF2181" w:rsidRDefault="00DF2181" w:rsidP="00DF2181">
      <w:pPr>
        <w:rPr>
          <w:sz w:val="21"/>
          <w:szCs w:val="21"/>
        </w:rPr>
      </w:pPr>
    </w:p>
    <w:p w:rsidR="00DF2181" w:rsidRPr="00DF2181" w:rsidRDefault="00DF2181" w:rsidP="00DF2181">
      <w:pPr>
        <w:pStyle w:val="ACLevel1"/>
        <w:keepNext/>
        <w:numPr>
          <w:ilvl w:val="0"/>
          <w:numId w:val="20"/>
        </w:numPr>
        <w:rPr>
          <w:sz w:val="21"/>
          <w:szCs w:val="21"/>
        </w:rPr>
      </w:pPr>
      <w:r w:rsidRPr="00DF2181">
        <w:rPr>
          <w:rStyle w:val="ACLevel1asheadingtext"/>
          <w:sz w:val="21"/>
          <w:szCs w:val="21"/>
        </w:rPr>
        <w:t>Introduction</w:t>
      </w:r>
    </w:p>
    <w:p w:rsidR="00DF2181" w:rsidRPr="00DF2181" w:rsidRDefault="00DF2181" w:rsidP="00DF2181">
      <w:pPr>
        <w:pStyle w:val="ACBody1"/>
        <w:rPr>
          <w:sz w:val="21"/>
          <w:szCs w:val="21"/>
        </w:rPr>
      </w:pPr>
      <w:r w:rsidRPr="00DF2181">
        <w:rPr>
          <w:sz w:val="21"/>
          <w:szCs w:val="21"/>
        </w:rPr>
        <w:t xml:space="preserve">This Notice describes the practices of </w:t>
      </w:r>
      <w:r w:rsidR="007F5AD4">
        <w:rPr>
          <w:sz w:val="21"/>
          <w:szCs w:val="21"/>
        </w:rPr>
        <w:t>Stafford Fuels Limited</w:t>
      </w:r>
      <w:r w:rsidRPr="00DF2181">
        <w:rPr>
          <w:sz w:val="21"/>
          <w:szCs w:val="21"/>
        </w:rPr>
        <w:t xml:space="preserve"> (“</w:t>
      </w:r>
      <w:r w:rsidR="00981D5B">
        <w:rPr>
          <w:b/>
          <w:sz w:val="21"/>
          <w:szCs w:val="21"/>
        </w:rPr>
        <w:t xml:space="preserve">Stafford Fuels </w:t>
      </w:r>
      <w:r w:rsidRPr="00DF2181">
        <w:rPr>
          <w:sz w:val="21"/>
          <w:szCs w:val="21"/>
        </w:rPr>
        <w:t xml:space="preserve">”) regarding the collection, use, transfer, disclosure and other handling and Processing of your Personal Data as an employee of, or staff contractor to, </w:t>
      </w:r>
      <w:r w:rsidR="00981D5B">
        <w:rPr>
          <w:sz w:val="21"/>
          <w:szCs w:val="21"/>
        </w:rPr>
        <w:t xml:space="preserve">Stafford Fuels </w:t>
      </w:r>
      <w:r w:rsidRPr="00DF2181">
        <w:rPr>
          <w:sz w:val="21"/>
          <w:szCs w:val="21"/>
        </w:rPr>
        <w:t xml:space="preserve">. </w:t>
      </w:r>
    </w:p>
    <w:p w:rsidR="00DF2181" w:rsidRPr="00DF2181" w:rsidRDefault="00DF2181" w:rsidP="00DF2181">
      <w:pPr>
        <w:pStyle w:val="ACBody1"/>
        <w:rPr>
          <w:sz w:val="21"/>
          <w:szCs w:val="21"/>
        </w:rPr>
      </w:pPr>
      <w:r w:rsidRPr="00DF2181">
        <w:rPr>
          <w:sz w:val="21"/>
          <w:szCs w:val="21"/>
        </w:rPr>
        <w:t xml:space="preserve">In particular, </w:t>
      </w:r>
      <w:r w:rsidR="00981D5B">
        <w:rPr>
          <w:sz w:val="21"/>
          <w:szCs w:val="21"/>
        </w:rPr>
        <w:t xml:space="preserve">Stafford </w:t>
      </w:r>
      <w:proofErr w:type="gramStart"/>
      <w:r w:rsidR="00981D5B">
        <w:rPr>
          <w:sz w:val="21"/>
          <w:szCs w:val="21"/>
        </w:rPr>
        <w:t xml:space="preserve">Fuels </w:t>
      </w:r>
      <w:r w:rsidRPr="00DF2181">
        <w:rPr>
          <w:sz w:val="21"/>
          <w:szCs w:val="21"/>
        </w:rPr>
        <w:t xml:space="preserve"> is</w:t>
      </w:r>
      <w:proofErr w:type="gramEnd"/>
      <w:r w:rsidRPr="00DF2181">
        <w:rPr>
          <w:sz w:val="21"/>
          <w:szCs w:val="21"/>
        </w:rPr>
        <w:t xml:space="preserve"> committed to Processing the Personal Data of its employees in a fair, lawful and transparent manner. Accordingly, this Notice provides </w:t>
      </w:r>
      <w:r w:rsidR="00981D5B">
        <w:rPr>
          <w:sz w:val="21"/>
          <w:szCs w:val="21"/>
        </w:rPr>
        <w:t xml:space="preserve">Stafford </w:t>
      </w:r>
      <w:proofErr w:type="gramStart"/>
      <w:r w:rsidR="00981D5B">
        <w:rPr>
          <w:sz w:val="21"/>
          <w:szCs w:val="21"/>
        </w:rPr>
        <w:t xml:space="preserve">Fuels </w:t>
      </w:r>
      <w:r w:rsidRPr="00DF2181">
        <w:rPr>
          <w:sz w:val="21"/>
          <w:szCs w:val="21"/>
        </w:rPr>
        <w:t xml:space="preserve"> employees</w:t>
      </w:r>
      <w:proofErr w:type="gramEnd"/>
      <w:r w:rsidRPr="00DF2181">
        <w:rPr>
          <w:sz w:val="21"/>
          <w:szCs w:val="21"/>
        </w:rPr>
        <w:t xml:space="preserve"> with certain information about how their Personal Data is used by </w:t>
      </w:r>
      <w:r w:rsidR="00981D5B">
        <w:rPr>
          <w:sz w:val="21"/>
          <w:szCs w:val="21"/>
        </w:rPr>
        <w:t xml:space="preserve">Stafford Fuels </w:t>
      </w:r>
      <w:r w:rsidRPr="00DF2181">
        <w:rPr>
          <w:sz w:val="21"/>
          <w:szCs w:val="21"/>
        </w:rPr>
        <w:t xml:space="preserve">. </w:t>
      </w:r>
      <w:r w:rsidR="00981D5B">
        <w:rPr>
          <w:sz w:val="21"/>
          <w:szCs w:val="21"/>
        </w:rPr>
        <w:t xml:space="preserve">Stafford </w:t>
      </w:r>
      <w:proofErr w:type="gramStart"/>
      <w:r w:rsidR="00981D5B">
        <w:rPr>
          <w:sz w:val="21"/>
          <w:szCs w:val="21"/>
        </w:rPr>
        <w:t xml:space="preserve">Fuels </w:t>
      </w:r>
      <w:r w:rsidRPr="00DF2181">
        <w:rPr>
          <w:sz w:val="21"/>
          <w:szCs w:val="21"/>
        </w:rPr>
        <w:t xml:space="preserve"> has</w:t>
      </w:r>
      <w:proofErr w:type="gramEnd"/>
      <w:r w:rsidRPr="00DF2181">
        <w:rPr>
          <w:sz w:val="21"/>
          <w:szCs w:val="21"/>
        </w:rPr>
        <w:t xml:space="preserve"> also adopted a Privacy Policy (the “</w:t>
      </w:r>
      <w:r w:rsidR="00981D5B">
        <w:rPr>
          <w:sz w:val="21"/>
          <w:szCs w:val="21"/>
        </w:rPr>
        <w:t xml:space="preserve">Stafford Fuels </w:t>
      </w:r>
      <w:r w:rsidRPr="00DF2181">
        <w:rPr>
          <w:sz w:val="21"/>
          <w:szCs w:val="21"/>
        </w:rPr>
        <w:t xml:space="preserve"> Privacy Policy”) that addresses data protection more generally. Capitalised terms used in this Notice are defined in the Glossary in Annex I to this Notice. </w:t>
      </w:r>
    </w:p>
    <w:p w:rsidR="00DF2181" w:rsidRPr="00DF2181" w:rsidRDefault="00DF2181" w:rsidP="00DF2181">
      <w:pPr>
        <w:pStyle w:val="ACBody1"/>
        <w:rPr>
          <w:sz w:val="21"/>
          <w:szCs w:val="21"/>
        </w:rPr>
      </w:pPr>
      <w:r w:rsidRPr="00DF2181">
        <w:rPr>
          <w:sz w:val="21"/>
          <w:szCs w:val="21"/>
        </w:rPr>
        <w:t xml:space="preserve">In relation to Personal Data provided by you to </w:t>
      </w:r>
      <w:r w:rsidR="00981D5B">
        <w:rPr>
          <w:sz w:val="21"/>
          <w:szCs w:val="21"/>
        </w:rPr>
        <w:t xml:space="preserve">Stafford </w:t>
      </w:r>
      <w:proofErr w:type="gramStart"/>
      <w:r w:rsidR="00981D5B">
        <w:rPr>
          <w:sz w:val="21"/>
          <w:szCs w:val="21"/>
        </w:rPr>
        <w:t xml:space="preserve">Fuels </w:t>
      </w:r>
      <w:r w:rsidRPr="00DF2181">
        <w:rPr>
          <w:sz w:val="21"/>
          <w:szCs w:val="21"/>
        </w:rPr>
        <w:t>,</w:t>
      </w:r>
      <w:proofErr w:type="gramEnd"/>
      <w:r w:rsidRPr="00DF2181">
        <w:rPr>
          <w:sz w:val="21"/>
          <w:szCs w:val="21"/>
        </w:rPr>
        <w:t xml:space="preserve"> </w:t>
      </w:r>
      <w:r w:rsidR="00981D5B">
        <w:rPr>
          <w:sz w:val="21"/>
          <w:szCs w:val="21"/>
        </w:rPr>
        <w:t xml:space="preserve">Stafford Fuels </w:t>
      </w:r>
      <w:r w:rsidRPr="00DF2181">
        <w:rPr>
          <w:sz w:val="21"/>
          <w:szCs w:val="21"/>
        </w:rPr>
        <w:t xml:space="preserve"> will act as Data Controller of such Personal Data. This means that </w:t>
      </w:r>
      <w:r w:rsidR="00981D5B">
        <w:rPr>
          <w:sz w:val="21"/>
          <w:szCs w:val="21"/>
        </w:rPr>
        <w:t xml:space="preserve">Stafford </w:t>
      </w:r>
      <w:proofErr w:type="gramStart"/>
      <w:r w:rsidR="00981D5B">
        <w:rPr>
          <w:sz w:val="21"/>
          <w:szCs w:val="21"/>
        </w:rPr>
        <w:t xml:space="preserve">Fuels </w:t>
      </w:r>
      <w:r w:rsidRPr="00DF2181">
        <w:rPr>
          <w:sz w:val="21"/>
          <w:szCs w:val="21"/>
        </w:rPr>
        <w:t xml:space="preserve"> determines</w:t>
      </w:r>
      <w:proofErr w:type="gramEnd"/>
      <w:r w:rsidRPr="00DF2181">
        <w:rPr>
          <w:sz w:val="21"/>
          <w:szCs w:val="21"/>
        </w:rPr>
        <w:t xml:space="preserve"> why and how such data is used. </w:t>
      </w:r>
      <w:r w:rsidR="00981D5B">
        <w:rPr>
          <w:sz w:val="21"/>
          <w:szCs w:val="21"/>
        </w:rPr>
        <w:t xml:space="preserve">Stafford </w:t>
      </w:r>
      <w:proofErr w:type="gramStart"/>
      <w:r w:rsidR="00981D5B">
        <w:rPr>
          <w:sz w:val="21"/>
          <w:szCs w:val="21"/>
        </w:rPr>
        <w:t xml:space="preserve">Fuels </w:t>
      </w:r>
      <w:r w:rsidRPr="00DF2181">
        <w:rPr>
          <w:sz w:val="21"/>
          <w:szCs w:val="21"/>
        </w:rPr>
        <w:t>’s</w:t>
      </w:r>
      <w:proofErr w:type="gramEnd"/>
      <w:r w:rsidRPr="00DF2181">
        <w:rPr>
          <w:sz w:val="21"/>
          <w:szCs w:val="21"/>
        </w:rPr>
        <w:t xml:space="preserve"> data Processing is generally undertaken in fulfilment of its legitimate interests and for the performance of contracts.</w:t>
      </w:r>
    </w:p>
    <w:p w:rsidR="00DF2181" w:rsidRPr="00DF2181" w:rsidRDefault="00DF2181" w:rsidP="00DF2181">
      <w:pPr>
        <w:pStyle w:val="ACLevel1"/>
        <w:keepNext/>
        <w:numPr>
          <w:ilvl w:val="0"/>
          <w:numId w:val="20"/>
        </w:numPr>
        <w:rPr>
          <w:sz w:val="21"/>
          <w:szCs w:val="21"/>
        </w:rPr>
      </w:pPr>
      <w:r w:rsidRPr="00DF2181">
        <w:rPr>
          <w:rStyle w:val="ACLevel1asheadingtext"/>
          <w:sz w:val="21"/>
          <w:szCs w:val="21"/>
        </w:rPr>
        <w:t>What is Personal Data?</w:t>
      </w:r>
    </w:p>
    <w:p w:rsidR="00DF2181" w:rsidRPr="00DF2181" w:rsidRDefault="00DF2181" w:rsidP="00DF2181">
      <w:pPr>
        <w:pStyle w:val="ACBody1"/>
        <w:rPr>
          <w:sz w:val="21"/>
          <w:szCs w:val="21"/>
        </w:rPr>
      </w:pPr>
      <w:r w:rsidRPr="00DF2181">
        <w:rPr>
          <w:sz w:val="21"/>
          <w:szCs w:val="21"/>
        </w:rPr>
        <w:t xml:space="preserve">Personal data is any information relating to a living individual which allows either directly or indirectly the identification of that individual. Personal Data can include a name, an identification number, details about an individual’s location or any other detail(s) that is specific to that individual and that would allow the individual to be identified or identifiable.  The type of Personal Data that </w:t>
      </w:r>
      <w:r w:rsidR="00981D5B">
        <w:rPr>
          <w:sz w:val="21"/>
          <w:szCs w:val="21"/>
        </w:rPr>
        <w:t xml:space="preserve">Stafford </w:t>
      </w:r>
      <w:proofErr w:type="gramStart"/>
      <w:r w:rsidR="00981D5B">
        <w:rPr>
          <w:sz w:val="21"/>
          <w:szCs w:val="21"/>
        </w:rPr>
        <w:t xml:space="preserve">Fuels </w:t>
      </w:r>
      <w:r w:rsidRPr="00DF2181">
        <w:rPr>
          <w:sz w:val="21"/>
          <w:szCs w:val="21"/>
        </w:rPr>
        <w:t xml:space="preserve"> collects</w:t>
      </w:r>
      <w:proofErr w:type="gramEnd"/>
      <w:r w:rsidRPr="00DF2181">
        <w:rPr>
          <w:sz w:val="21"/>
          <w:szCs w:val="21"/>
        </w:rPr>
        <w:t xml:space="preserve"> and Processes in relation to employees is described in more detail in the table at Appendix II of this Notice</w:t>
      </w:r>
      <w:r w:rsidRPr="00DF2181">
        <w:rPr>
          <w:i/>
          <w:sz w:val="21"/>
          <w:szCs w:val="21"/>
        </w:rPr>
        <w:t>.</w:t>
      </w:r>
    </w:p>
    <w:p w:rsidR="00DF2181" w:rsidRPr="00DF2181" w:rsidRDefault="00DF2181" w:rsidP="00DF2181">
      <w:pPr>
        <w:pStyle w:val="ACLevel1"/>
        <w:keepNext/>
        <w:numPr>
          <w:ilvl w:val="0"/>
          <w:numId w:val="20"/>
        </w:numPr>
        <w:rPr>
          <w:sz w:val="21"/>
          <w:szCs w:val="21"/>
        </w:rPr>
      </w:pPr>
      <w:r w:rsidRPr="00DF2181">
        <w:rPr>
          <w:rStyle w:val="ACLevel1asheadingtext"/>
          <w:sz w:val="21"/>
          <w:szCs w:val="21"/>
        </w:rPr>
        <w:t>How we Collect and Use your Personal Data</w:t>
      </w:r>
    </w:p>
    <w:p w:rsidR="00DF2181" w:rsidRPr="00DF2181" w:rsidRDefault="00DF2181" w:rsidP="00DF2181">
      <w:pPr>
        <w:pStyle w:val="ACBody1"/>
        <w:rPr>
          <w:sz w:val="21"/>
          <w:szCs w:val="21"/>
        </w:rPr>
      </w:pPr>
      <w:r w:rsidRPr="00DF2181">
        <w:rPr>
          <w:sz w:val="21"/>
          <w:szCs w:val="21"/>
        </w:rPr>
        <w:t xml:space="preserve">The table at Appendix II also describes in detail the particular purposes and lawful basis for </w:t>
      </w:r>
      <w:r w:rsidR="00981D5B">
        <w:rPr>
          <w:sz w:val="21"/>
          <w:szCs w:val="21"/>
        </w:rPr>
        <w:t xml:space="preserve">Stafford </w:t>
      </w:r>
      <w:proofErr w:type="gramStart"/>
      <w:r w:rsidR="00981D5B">
        <w:rPr>
          <w:sz w:val="21"/>
          <w:szCs w:val="21"/>
        </w:rPr>
        <w:t xml:space="preserve">Fuels </w:t>
      </w:r>
      <w:r w:rsidRPr="00DF2181">
        <w:rPr>
          <w:sz w:val="21"/>
          <w:szCs w:val="21"/>
        </w:rPr>
        <w:t>’s</w:t>
      </w:r>
      <w:proofErr w:type="gramEnd"/>
      <w:r w:rsidRPr="00DF2181">
        <w:rPr>
          <w:sz w:val="21"/>
          <w:szCs w:val="21"/>
        </w:rPr>
        <w:t xml:space="preserve"> Processing of employee Personal Data as required by Data Protection Law. </w:t>
      </w:r>
      <w:r w:rsidR="00981D5B">
        <w:rPr>
          <w:sz w:val="21"/>
          <w:szCs w:val="21"/>
        </w:rPr>
        <w:t xml:space="preserve">Stafford </w:t>
      </w:r>
      <w:proofErr w:type="gramStart"/>
      <w:r w:rsidR="00981D5B">
        <w:rPr>
          <w:sz w:val="21"/>
          <w:szCs w:val="21"/>
        </w:rPr>
        <w:t xml:space="preserve">Fuels </w:t>
      </w:r>
      <w:r w:rsidRPr="00DF2181">
        <w:rPr>
          <w:sz w:val="21"/>
          <w:szCs w:val="21"/>
        </w:rPr>
        <w:t xml:space="preserve"> will</w:t>
      </w:r>
      <w:proofErr w:type="gramEnd"/>
      <w:r w:rsidRPr="00DF2181">
        <w:rPr>
          <w:sz w:val="21"/>
          <w:szCs w:val="21"/>
        </w:rPr>
        <w:t xml:space="preserve"> generally Process your Personal Data for personnel administration purposes and for purposes as necessary for and connected with the performance of contracts, such as employment contracts, and in its legitimate interests. </w:t>
      </w:r>
    </w:p>
    <w:p w:rsidR="00DF2181" w:rsidRPr="00DF2181" w:rsidRDefault="00981D5B" w:rsidP="00DF2181">
      <w:pPr>
        <w:pStyle w:val="ACBody1"/>
        <w:rPr>
          <w:sz w:val="21"/>
          <w:szCs w:val="21"/>
        </w:rPr>
      </w:pPr>
      <w:r>
        <w:rPr>
          <w:sz w:val="21"/>
          <w:szCs w:val="21"/>
        </w:rPr>
        <w:t xml:space="preserve">Stafford Fuels </w:t>
      </w:r>
      <w:r w:rsidR="00DF2181" w:rsidRPr="00DF2181">
        <w:rPr>
          <w:sz w:val="21"/>
          <w:szCs w:val="21"/>
        </w:rPr>
        <w:t xml:space="preserve"> may obtain Personal Data about you from third parties, such as former employers, educational institutions, recruitment agencies, recruitment platforms such as LinkedIn, government agencies, from information in the public domain and available on the internet and from other employees (e.g., other </w:t>
      </w:r>
      <w:r>
        <w:rPr>
          <w:sz w:val="21"/>
          <w:szCs w:val="21"/>
        </w:rPr>
        <w:t xml:space="preserve">Stafford Fuels </w:t>
      </w:r>
      <w:r w:rsidR="00DF2181" w:rsidRPr="00DF2181">
        <w:rPr>
          <w:sz w:val="21"/>
          <w:szCs w:val="21"/>
        </w:rPr>
        <w:t xml:space="preserve"> staff, members of the HR Department, etc.). We may also seek Personal Data about you from third parties in connection with: (I) locating former employees and beneficiaries for purposes of administering retirement, pension or other benefits; (II) performance evaluations; (III) academic and processional references; (IV) disciplinary matters and internal investigations; (V) purposes that relate to your employment relationship with us; and (VI) other purposes permitted in accordance with applicable law. Where we obtain Personal Data about you from third parties, we will do so in accordance with Data Protection Law.</w:t>
      </w:r>
    </w:p>
    <w:p w:rsidR="00DF2181" w:rsidRPr="00DF2181" w:rsidRDefault="00DF2181" w:rsidP="00DF2181">
      <w:pPr>
        <w:pStyle w:val="ACLevel1"/>
        <w:keepNext/>
        <w:numPr>
          <w:ilvl w:val="0"/>
          <w:numId w:val="20"/>
        </w:numPr>
        <w:rPr>
          <w:sz w:val="21"/>
          <w:szCs w:val="21"/>
        </w:rPr>
      </w:pPr>
      <w:r w:rsidRPr="00DF2181">
        <w:rPr>
          <w:rStyle w:val="ACLevel1asheadingtext"/>
          <w:sz w:val="21"/>
          <w:szCs w:val="21"/>
        </w:rPr>
        <w:t>Special Categories of Data</w:t>
      </w:r>
    </w:p>
    <w:p w:rsidR="00DF2181" w:rsidRPr="00DF2181" w:rsidRDefault="00981D5B" w:rsidP="00DF2181">
      <w:pPr>
        <w:pStyle w:val="ACBody1"/>
        <w:rPr>
          <w:sz w:val="21"/>
          <w:szCs w:val="21"/>
        </w:rPr>
      </w:pPr>
      <w:r>
        <w:rPr>
          <w:sz w:val="21"/>
          <w:szCs w:val="21"/>
        </w:rPr>
        <w:t xml:space="preserve">Stafford </w:t>
      </w:r>
      <w:proofErr w:type="gramStart"/>
      <w:r>
        <w:rPr>
          <w:sz w:val="21"/>
          <w:szCs w:val="21"/>
        </w:rPr>
        <w:t xml:space="preserve">Fuels </w:t>
      </w:r>
      <w:r w:rsidR="00DF2181" w:rsidRPr="00DF2181">
        <w:rPr>
          <w:sz w:val="21"/>
          <w:szCs w:val="21"/>
        </w:rPr>
        <w:t xml:space="preserve"> Processes</w:t>
      </w:r>
      <w:proofErr w:type="gramEnd"/>
      <w:r w:rsidR="00DF2181" w:rsidRPr="00DF2181">
        <w:rPr>
          <w:sz w:val="21"/>
          <w:szCs w:val="21"/>
        </w:rPr>
        <w:t xml:space="preserve"> Special Categories of Data (“</w:t>
      </w:r>
      <w:r w:rsidR="00DF2181" w:rsidRPr="00DF2181">
        <w:rPr>
          <w:b/>
          <w:sz w:val="21"/>
          <w:szCs w:val="21"/>
        </w:rPr>
        <w:t>SCD</w:t>
      </w:r>
      <w:r w:rsidR="00DF2181" w:rsidRPr="00DF2181">
        <w:rPr>
          <w:sz w:val="21"/>
          <w:szCs w:val="21"/>
        </w:rPr>
        <w:t>”) relating to employees in limited circumstances, typically related to the ordinary course of personnel administration which is in accordance with the Data Protection Law.  Such Processing of SCD is permitted under several provisions of the Data Protection Law, including the following:</w:t>
      </w:r>
    </w:p>
    <w:p w:rsidR="00DF2181" w:rsidRPr="00DF2181" w:rsidRDefault="00DF2181" w:rsidP="00DF2181">
      <w:pPr>
        <w:pStyle w:val="ACBulletLv2"/>
        <w:rPr>
          <w:sz w:val="21"/>
          <w:szCs w:val="21"/>
        </w:rPr>
      </w:pPr>
      <w:r w:rsidRPr="00DF2181">
        <w:rPr>
          <w:sz w:val="21"/>
          <w:szCs w:val="21"/>
        </w:rPr>
        <w:lastRenderedPageBreak/>
        <w:t>Article 9(2)(f) GDPR where it is “</w:t>
      </w:r>
      <w:r w:rsidRPr="00DF2181">
        <w:rPr>
          <w:i/>
          <w:sz w:val="21"/>
          <w:szCs w:val="21"/>
        </w:rPr>
        <w:t>necessary for the establishment, exercise or defence of legal claims</w:t>
      </w:r>
      <w:r w:rsidRPr="00DF2181">
        <w:rPr>
          <w:sz w:val="21"/>
          <w:szCs w:val="21"/>
        </w:rPr>
        <w:t>” and this ground is amplified under the Data Protection Act 2018 which permits the Processing of SCD where it is necessary for the purposes of providing or obtaining legal advice or for the purposes of, or in connection with, legal claims, prospective legal claims, legal proceedings or prospective legal proceedings, or is otherwise necessary for the purposes of establishing, exercising or defending legal rights (and which may include Processing in the context of disciplinary proceedings); and</w:t>
      </w:r>
    </w:p>
    <w:p w:rsidR="00DF2181" w:rsidRPr="00DF2181" w:rsidRDefault="00DF2181" w:rsidP="00DF2181">
      <w:pPr>
        <w:pStyle w:val="ACBulletLv2"/>
        <w:rPr>
          <w:sz w:val="21"/>
          <w:szCs w:val="21"/>
        </w:rPr>
      </w:pPr>
      <w:r w:rsidRPr="00DF2181">
        <w:rPr>
          <w:sz w:val="21"/>
          <w:szCs w:val="21"/>
        </w:rPr>
        <w:t xml:space="preserve">In relation to the management of medical risk and medical claims the Data Protection Act 2018 permits the Processing of SCD where it is necessary for the purposes of preventative or occupational medicine, to assess the working capacity of an employee, for the management of health or social care systems and services or for ensuring high standards of quality and safety of health care. </w:t>
      </w:r>
    </w:p>
    <w:p w:rsidR="00DF2181" w:rsidRPr="00DF2181" w:rsidRDefault="00DF2181" w:rsidP="00DF2181">
      <w:pPr>
        <w:pStyle w:val="ACLevel1"/>
        <w:keepNext/>
        <w:numPr>
          <w:ilvl w:val="0"/>
          <w:numId w:val="20"/>
        </w:numPr>
        <w:rPr>
          <w:sz w:val="21"/>
          <w:szCs w:val="21"/>
        </w:rPr>
      </w:pPr>
      <w:r w:rsidRPr="00DF2181">
        <w:rPr>
          <w:rStyle w:val="ACLevel1asheadingtext"/>
          <w:sz w:val="21"/>
          <w:szCs w:val="21"/>
        </w:rPr>
        <w:t>Your rights under Data Protection Law</w:t>
      </w:r>
    </w:p>
    <w:p w:rsidR="00DF2181" w:rsidRPr="00DF2181" w:rsidRDefault="00DF2181" w:rsidP="00DF2181">
      <w:pPr>
        <w:pStyle w:val="ACBody1"/>
        <w:rPr>
          <w:sz w:val="21"/>
          <w:szCs w:val="21"/>
        </w:rPr>
      </w:pPr>
      <w:r w:rsidRPr="00DF2181">
        <w:rPr>
          <w:sz w:val="21"/>
          <w:szCs w:val="21"/>
        </w:rPr>
        <w:t>Data Protection Laws provide certain rights in favour of data subjects. The rights in question are as follows (together the “</w:t>
      </w:r>
      <w:r w:rsidRPr="00DF2181">
        <w:rPr>
          <w:b/>
          <w:sz w:val="21"/>
          <w:szCs w:val="21"/>
        </w:rPr>
        <w:t>Data Subject Rights</w:t>
      </w:r>
      <w:r w:rsidRPr="00DF2181">
        <w:rPr>
          <w:sz w:val="21"/>
          <w:szCs w:val="21"/>
        </w:rPr>
        <w:t xml:space="preserve">”):  </w:t>
      </w:r>
    </w:p>
    <w:p w:rsidR="00DF2181" w:rsidRPr="00DF2181" w:rsidRDefault="00DF2181" w:rsidP="00DF2181">
      <w:pPr>
        <w:pStyle w:val="ACBulletLv2"/>
        <w:rPr>
          <w:sz w:val="21"/>
          <w:szCs w:val="21"/>
        </w:rPr>
      </w:pPr>
      <w:r w:rsidRPr="00DF2181">
        <w:rPr>
          <w:sz w:val="21"/>
          <w:szCs w:val="21"/>
        </w:rPr>
        <w:t xml:space="preserve">The right of a data subject to receive detailed information on the Processing (by virtue of the transparency obligations on the Data Controller); </w:t>
      </w:r>
    </w:p>
    <w:p w:rsidR="00DF2181" w:rsidRPr="00DF2181" w:rsidRDefault="00DF2181" w:rsidP="00DF2181">
      <w:pPr>
        <w:pStyle w:val="ACBulletLv2"/>
        <w:rPr>
          <w:sz w:val="21"/>
          <w:szCs w:val="21"/>
        </w:rPr>
      </w:pPr>
      <w:r w:rsidRPr="00DF2181">
        <w:rPr>
          <w:sz w:val="21"/>
          <w:szCs w:val="21"/>
        </w:rPr>
        <w:t xml:space="preserve">The right of access to Personal Data; </w:t>
      </w:r>
    </w:p>
    <w:p w:rsidR="00DF2181" w:rsidRPr="00DF2181" w:rsidRDefault="00DF2181" w:rsidP="00DF2181">
      <w:pPr>
        <w:pStyle w:val="ACBulletLv2"/>
        <w:rPr>
          <w:sz w:val="21"/>
          <w:szCs w:val="21"/>
        </w:rPr>
      </w:pPr>
      <w:r w:rsidRPr="00DF2181">
        <w:rPr>
          <w:sz w:val="21"/>
          <w:szCs w:val="21"/>
        </w:rPr>
        <w:t xml:space="preserve">The right to rectify or erase Personal Data (known as the “right to be forgotten”); </w:t>
      </w:r>
    </w:p>
    <w:p w:rsidR="00DF2181" w:rsidRPr="00DF2181" w:rsidRDefault="00DF2181" w:rsidP="00DF2181">
      <w:pPr>
        <w:pStyle w:val="ACBulletLv2"/>
        <w:rPr>
          <w:sz w:val="21"/>
          <w:szCs w:val="21"/>
        </w:rPr>
      </w:pPr>
      <w:r w:rsidRPr="00DF2181">
        <w:rPr>
          <w:sz w:val="21"/>
          <w:szCs w:val="21"/>
        </w:rPr>
        <w:t xml:space="preserve">The right to restrict Processing; </w:t>
      </w:r>
    </w:p>
    <w:p w:rsidR="00DF2181" w:rsidRPr="00DF2181" w:rsidRDefault="00DF2181" w:rsidP="00DF2181">
      <w:pPr>
        <w:pStyle w:val="ACBulletLv2"/>
        <w:rPr>
          <w:sz w:val="21"/>
          <w:szCs w:val="21"/>
        </w:rPr>
      </w:pPr>
      <w:r w:rsidRPr="00DF2181">
        <w:rPr>
          <w:sz w:val="21"/>
          <w:szCs w:val="21"/>
        </w:rPr>
        <w:t>The right of data portability; and</w:t>
      </w:r>
    </w:p>
    <w:p w:rsidR="00DF2181" w:rsidRPr="00DF2181" w:rsidRDefault="00DF2181" w:rsidP="00DF2181">
      <w:pPr>
        <w:pStyle w:val="ACBulletLv2"/>
        <w:rPr>
          <w:sz w:val="21"/>
          <w:szCs w:val="21"/>
        </w:rPr>
      </w:pPr>
      <w:r w:rsidRPr="00DF2181">
        <w:rPr>
          <w:sz w:val="21"/>
          <w:szCs w:val="21"/>
        </w:rPr>
        <w:t xml:space="preserve">The right to object to automated decision making, including profiling and where processing is based on the legitimate interests of </w:t>
      </w:r>
      <w:r w:rsidR="00981D5B">
        <w:rPr>
          <w:sz w:val="21"/>
          <w:szCs w:val="21"/>
        </w:rPr>
        <w:t xml:space="preserve">Stafford </w:t>
      </w:r>
      <w:proofErr w:type="gramStart"/>
      <w:r w:rsidR="00981D5B">
        <w:rPr>
          <w:sz w:val="21"/>
          <w:szCs w:val="21"/>
        </w:rPr>
        <w:t xml:space="preserve">Fuels </w:t>
      </w:r>
      <w:r w:rsidRPr="00DF2181">
        <w:rPr>
          <w:sz w:val="21"/>
          <w:szCs w:val="21"/>
        </w:rPr>
        <w:t xml:space="preserve"> or</w:t>
      </w:r>
      <w:proofErr w:type="gramEnd"/>
      <w:r w:rsidRPr="00DF2181">
        <w:rPr>
          <w:sz w:val="21"/>
          <w:szCs w:val="21"/>
        </w:rPr>
        <w:t xml:space="preserve"> a third party.</w:t>
      </w:r>
    </w:p>
    <w:p w:rsidR="00DF2181" w:rsidRPr="00DF2181" w:rsidRDefault="00DF2181" w:rsidP="00DF2181">
      <w:pPr>
        <w:pStyle w:val="ACBody1"/>
        <w:rPr>
          <w:sz w:val="21"/>
          <w:szCs w:val="21"/>
        </w:rPr>
      </w:pPr>
      <w:r w:rsidRPr="00DF2181">
        <w:rPr>
          <w:sz w:val="21"/>
          <w:szCs w:val="21"/>
        </w:rPr>
        <w:t xml:space="preserve">The Data Subject Rights are subject to certain conditions and accordingly will not be available in all circumstances.  </w:t>
      </w:r>
    </w:p>
    <w:p w:rsidR="00DF2181" w:rsidRPr="003B7ED8" w:rsidRDefault="00DF2181" w:rsidP="003B7ED8">
      <w:pPr>
        <w:pStyle w:val="ACBody1"/>
        <w:jc w:val="left"/>
        <w:rPr>
          <w:sz w:val="21"/>
          <w:szCs w:val="21"/>
        </w:rPr>
      </w:pPr>
      <w:r w:rsidRPr="003B7ED8">
        <w:rPr>
          <w:sz w:val="21"/>
          <w:szCs w:val="21"/>
        </w:rPr>
        <w:t xml:space="preserve">Any data subject wishing to exercise their Data Subject Rights should contact the </w:t>
      </w:r>
      <w:r w:rsidR="00981D5B">
        <w:rPr>
          <w:sz w:val="21"/>
          <w:szCs w:val="21"/>
        </w:rPr>
        <w:t xml:space="preserve">Stafford </w:t>
      </w:r>
      <w:proofErr w:type="gramStart"/>
      <w:r w:rsidR="00981D5B">
        <w:rPr>
          <w:sz w:val="21"/>
          <w:szCs w:val="21"/>
        </w:rPr>
        <w:t xml:space="preserve">Fuels </w:t>
      </w:r>
      <w:r w:rsidRPr="003B7ED8">
        <w:rPr>
          <w:sz w:val="21"/>
          <w:szCs w:val="21"/>
        </w:rPr>
        <w:t xml:space="preserve"> </w:t>
      </w:r>
      <w:r w:rsidR="00AD7FF3">
        <w:rPr>
          <w:sz w:val="21"/>
          <w:szCs w:val="21"/>
        </w:rPr>
        <w:t>Managing</w:t>
      </w:r>
      <w:proofErr w:type="gramEnd"/>
      <w:r w:rsidR="00AD7FF3">
        <w:rPr>
          <w:sz w:val="21"/>
          <w:szCs w:val="21"/>
        </w:rPr>
        <w:t xml:space="preserve"> Director</w:t>
      </w:r>
      <w:r w:rsidR="009D2B1F" w:rsidRPr="003B7ED8">
        <w:rPr>
          <w:sz w:val="21"/>
          <w:szCs w:val="21"/>
        </w:rPr>
        <w:t xml:space="preserve"> </w:t>
      </w:r>
      <w:r w:rsidRPr="003B7ED8">
        <w:rPr>
          <w:sz w:val="21"/>
          <w:szCs w:val="21"/>
        </w:rPr>
        <w:t>at</w:t>
      </w:r>
      <w:r w:rsidR="009D2B1F" w:rsidRPr="003B7ED8">
        <w:rPr>
          <w:sz w:val="21"/>
          <w:szCs w:val="21"/>
        </w:rPr>
        <w:t xml:space="preserve"> </w:t>
      </w:r>
      <w:r w:rsidR="003B7ED8" w:rsidRPr="003B7ED8">
        <w:rPr>
          <w:color w:val="353A3C"/>
          <w:sz w:val="21"/>
          <w:szCs w:val="21"/>
          <w:shd w:val="clear" w:color="auto" w:fill="FFFFFF"/>
        </w:rPr>
        <w:t>Stafford Fuels Ltd,</w:t>
      </w:r>
      <w:r w:rsidR="003B7ED8">
        <w:rPr>
          <w:color w:val="353A3C"/>
          <w:sz w:val="21"/>
          <w:szCs w:val="21"/>
          <w:shd w:val="clear" w:color="auto" w:fill="FFFFFF"/>
        </w:rPr>
        <w:t xml:space="preserve"> </w:t>
      </w:r>
      <w:proofErr w:type="spellStart"/>
      <w:r w:rsidR="003B7ED8" w:rsidRPr="003B7ED8">
        <w:rPr>
          <w:color w:val="353A3C"/>
          <w:sz w:val="21"/>
          <w:szCs w:val="21"/>
          <w:shd w:val="clear" w:color="auto" w:fill="FFFFFF"/>
        </w:rPr>
        <w:t>Raheen</w:t>
      </w:r>
      <w:proofErr w:type="spellEnd"/>
      <w:r w:rsidR="003B7ED8" w:rsidRPr="003B7ED8">
        <w:rPr>
          <w:color w:val="353A3C"/>
          <w:sz w:val="21"/>
          <w:szCs w:val="21"/>
          <w:shd w:val="clear" w:color="auto" w:fill="FFFFFF"/>
        </w:rPr>
        <w:t>,</w:t>
      </w:r>
      <w:r w:rsidR="003B7ED8">
        <w:rPr>
          <w:color w:val="353A3C"/>
          <w:sz w:val="21"/>
          <w:szCs w:val="21"/>
          <w:shd w:val="clear" w:color="auto" w:fill="FFFFFF"/>
        </w:rPr>
        <w:t xml:space="preserve"> </w:t>
      </w:r>
      <w:r w:rsidR="003B7ED8" w:rsidRPr="003B7ED8">
        <w:rPr>
          <w:color w:val="353A3C"/>
          <w:sz w:val="21"/>
          <w:szCs w:val="21"/>
          <w:shd w:val="clear" w:color="auto" w:fill="FFFFFF"/>
        </w:rPr>
        <w:t>New Ross,</w:t>
      </w:r>
      <w:r w:rsidR="003B7ED8">
        <w:rPr>
          <w:color w:val="353A3C"/>
          <w:sz w:val="21"/>
          <w:szCs w:val="21"/>
          <w:shd w:val="clear" w:color="auto" w:fill="FFFFFF"/>
        </w:rPr>
        <w:t xml:space="preserve"> </w:t>
      </w:r>
      <w:r w:rsidR="003B7ED8" w:rsidRPr="003B7ED8">
        <w:rPr>
          <w:color w:val="353A3C"/>
          <w:sz w:val="21"/>
          <w:szCs w:val="21"/>
          <w:shd w:val="clear" w:color="auto" w:fill="FFFFFF"/>
        </w:rPr>
        <w:t>Co. Wexford</w:t>
      </w:r>
      <w:r w:rsidR="003B7ED8" w:rsidRPr="003B7ED8">
        <w:rPr>
          <w:color w:val="353A3C"/>
          <w:sz w:val="21"/>
          <w:szCs w:val="21"/>
          <w:shd w:val="clear" w:color="auto" w:fill="FFFFFF"/>
        </w:rPr>
        <w:t xml:space="preserve">. </w:t>
      </w:r>
      <w:r w:rsidRPr="003B7ED8">
        <w:rPr>
          <w:sz w:val="21"/>
          <w:szCs w:val="21"/>
        </w:rPr>
        <w:t xml:space="preserve">Your request will be dealt with in accordance with Data Protection Law. </w:t>
      </w:r>
    </w:p>
    <w:p w:rsidR="00DF2181" w:rsidRPr="00DF2181" w:rsidRDefault="00DF2181" w:rsidP="00DF2181">
      <w:pPr>
        <w:pStyle w:val="ACLevel1"/>
        <w:keepNext/>
        <w:numPr>
          <w:ilvl w:val="0"/>
          <w:numId w:val="20"/>
        </w:numPr>
        <w:rPr>
          <w:sz w:val="21"/>
          <w:szCs w:val="21"/>
        </w:rPr>
      </w:pPr>
      <w:r w:rsidRPr="00DF2181">
        <w:rPr>
          <w:rStyle w:val="ACLevel1asheadingtext"/>
          <w:sz w:val="21"/>
          <w:szCs w:val="21"/>
        </w:rPr>
        <w:t>Data Security and Data Breach</w:t>
      </w:r>
    </w:p>
    <w:p w:rsidR="00DF2181" w:rsidRPr="00DF2181" w:rsidRDefault="00DF2181" w:rsidP="00DF2181">
      <w:pPr>
        <w:pStyle w:val="ACBody1"/>
        <w:rPr>
          <w:sz w:val="21"/>
          <w:szCs w:val="21"/>
        </w:rPr>
      </w:pPr>
      <w:r w:rsidRPr="00DF2181">
        <w:rPr>
          <w:sz w:val="21"/>
          <w:szCs w:val="21"/>
        </w:rPr>
        <w:t xml:space="preserve">We have technical and organisational measures in place to protect Personal Data from unlawful or unauthorised destruction, loss, change, disclosure, acquisition or access.  Personal Data are held securely using a range of security measures including, as appropriate, physical measures such as locked filing cabinets, IT measures such as encryption, and restricted access through approvals and passwords. </w:t>
      </w:r>
    </w:p>
    <w:p w:rsidR="00DF2181" w:rsidRPr="00DF2181" w:rsidRDefault="00DF2181" w:rsidP="00DF2181">
      <w:pPr>
        <w:pStyle w:val="ACBody1"/>
        <w:rPr>
          <w:sz w:val="21"/>
          <w:szCs w:val="21"/>
        </w:rPr>
      </w:pPr>
      <w:r w:rsidRPr="00DF2181">
        <w:rPr>
          <w:sz w:val="21"/>
          <w:szCs w:val="21"/>
        </w:rPr>
        <w:t xml:space="preserve">The GDPR obliges Data Controllers to notify the Data Protection Commission and affected data subjects in the case of certain types of Personal Data security breaches (Art. 34). We will manage a Data Breach in accordance with our </w:t>
      </w:r>
      <w:r w:rsidRPr="00DF2181">
        <w:rPr>
          <w:sz w:val="21"/>
          <w:szCs w:val="21"/>
          <w:u w:val="single"/>
        </w:rPr>
        <w:t>Personal Data Security Breach Procedure</w:t>
      </w:r>
      <w:r w:rsidRPr="00DF2181">
        <w:rPr>
          <w:sz w:val="21"/>
          <w:szCs w:val="21"/>
        </w:rPr>
        <w:t>. For further information on identifying and reporting a Data Breach please contact</w:t>
      </w:r>
      <w:r w:rsidR="00B004DB">
        <w:rPr>
          <w:sz w:val="21"/>
          <w:szCs w:val="21"/>
        </w:rPr>
        <w:t xml:space="preserve"> </w:t>
      </w:r>
      <w:r w:rsidR="00AD7FF3">
        <w:rPr>
          <w:sz w:val="21"/>
          <w:szCs w:val="21"/>
        </w:rPr>
        <w:t>Managing Director</w:t>
      </w:r>
      <w:r w:rsidRPr="00DF2181">
        <w:rPr>
          <w:sz w:val="21"/>
          <w:szCs w:val="21"/>
        </w:rPr>
        <w:t xml:space="preserve"> at the details below. If you become aware of or suspect that a Data Breach has taken place you are required to immediately notify the </w:t>
      </w:r>
      <w:r w:rsidR="00981D5B">
        <w:rPr>
          <w:sz w:val="21"/>
          <w:szCs w:val="21"/>
        </w:rPr>
        <w:t xml:space="preserve">Stafford </w:t>
      </w:r>
      <w:proofErr w:type="gramStart"/>
      <w:r w:rsidR="00981D5B">
        <w:rPr>
          <w:sz w:val="21"/>
          <w:szCs w:val="21"/>
        </w:rPr>
        <w:t xml:space="preserve">Fuels </w:t>
      </w:r>
      <w:r w:rsidR="00B004DB">
        <w:rPr>
          <w:sz w:val="21"/>
          <w:szCs w:val="21"/>
        </w:rPr>
        <w:t xml:space="preserve"> </w:t>
      </w:r>
      <w:r w:rsidR="00AD7FF3">
        <w:rPr>
          <w:sz w:val="21"/>
          <w:szCs w:val="21"/>
        </w:rPr>
        <w:t>Managing</w:t>
      </w:r>
      <w:proofErr w:type="gramEnd"/>
      <w:r w:rsidR="00AD7FF3">
        <w:rPr>
          <w:sz w:val="21"/>
          <w:szCs w:val="21"/>
        </w:rPr>
        <w:t xml:space="preserve"> Director</w:t>
      </w:r>
      <w:r w:rsidRPr="00DF2181">
        <w:rPr>
          <w:sz w:val="21"/>
          <w:szCs w:val="21"/>
        </w:rPr>
        <w:t xml:space="preserve"> by both phone and email: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6582"/>
      </w:tblGrid>
      <w:tr w:rsidR="00DF2181" w:rsidRPr="00DF2181" w:rsidTr="00DF2181">
        <w:tc>
          <w:tcPr>
            <w:tcW w:w="1781" w:type="dxa"/>
          </w:tcPr>
          <w:p w:rsidR="00DF2181" w:rsidRPr="00DF2181" w:rsidRDefault="00DF2181" w:rsidP="0027481D">
            <w:pPr>
              <w:rPr>
                <w:sz w:val="21"/>
                <w:szCs w:val="21"/>
              </w:rPr>
            </w:pPr>
            <w:r w:rsidRPr="00DF2181">
              <w:rPr>
                <w:sz w:val="21"/>
                <w:szCs w:val="21"/>
              </w:rPr>
              <w:t xml:space="preserve">Name </w:t>
            </w:r>
          </w:p>
        </w:tc>
        <w:tc>
          <w:tcPr>
            <w:tcW w:w="6582" w:type="dxa"/>
          </w:tcPr>
          <w:p w:rsidR="00DF2181" w:rsidRPr="00DF2181" w:rsidRDefault="00AD7FF3" w:rsidP="0027481D">
            <w:pPr>
              <w:ind w:left="1440"/>
              <w:rPr>
                <w:sz w:val="21"/>
                <w:szCs w:val="21"/>
              </w:rPr>
            </w:pPr>
            <w:r>
              <w:rPr>
                <w:sz w:val="21"/>
                <w:szCs w:val="21"/>
              </w:rPr>
              <w:t>Andy Maher</w:t>
            </w:r>
          </w:p>
        </w:tc>
      </w:tr>
      <w:tr w:rsidR="00DF2181" w:rsidRPr="00DF2181" w:rsidTr="00DF2181">
        <w:tc>
          <w:tcPr>
            <w:tcW w:w="1781" w:type="dxa"/>
          </w:tcPr>
          <w:p w:rsidR="00DF2181" w:rsidRPr="00DF2181" w:rsidRDefault="00DF2181" w:rsidP="0027481D">
            <w:pPr>
              <w:rPr>
                <w:sz w:val="21"/>
                <w:szCs w:val="21"/>
              </w:rPr>
            </w:pPr>
            <w:r w:rsidRPr="00DF2181">
              <w:rPr>
                <w:sz w:val="21"/>
                <w:szCs w:val="21"/>
              </w:rPr>
              <w:t xml:space="preserve">Email </w:t>
            </w:r>
          </w:p>
        </w:tc>
        <w:tc>
          <w:tcPr>
            <w:tcW w:w="6582" w:type="dxa"/>
          </w:tcPr>
          <w:p w:rsidR="00DF2181" w:rsidRPr="00DF2181" w:rsidRDefault="00D20CD9" w:rsidP="00AD7FF3">
            <w:pPr>
              <w:rPr>
                <w:sz w:val="21"/>
                <w:szCs w:val="21"/>
              </w:rPr>
            </w:pPr>
            <w:r>
              <w:rPr>
                <w:sz w:val="21"/>
                <w:szCs w:val="21"/>
              </w:rPr>
              <w:t>Andy.maher@staffordfuels.ie</w:t>
            </w:r>
          </w:p>
        </w:tc>
      </w:tr>
      <w:tr w:rsidR="00DF2181" w:rsidRPr="00DF2181" w:rsidTr="00DF2181">
        <w:tc>
          <w:tcPr>
            <w:tcW w:w="1781" w:type="dxa"/>
          </w:tcPr>
          <w:p w:rsidR="00DF2181" w:rsidRPr="00DF2181" w:rsidRDefault="00DF2181" w:rsidP="0027481D">
            <w:pPr>
              <w:rPr>
                <w:sz w:val="21"/>
                <w:szCs w:val="21"/>
              </w:rPr>
            </w:pPr>
            <w:r w:rsidRPr="00DF2181">
              <w:rPr>
                <w:sz w:val="21"/>
                <w:szCs w:val="21"/>
              </w:rPr>
              <w:t xml:space="preserve">Phone </w:t>
            </w:r>
          </w:p>
        </w:tc>
        <w:tc>
          <w:tcPr>
            <w:tcW w:w="6582" w:type="dxa"/>
          </w:tcPr>
          <w:p w:rsidR="00DF2181" w:rsidRPr="00DF2181" w:rsidRDefault="00D20CD9" w:rsidP="00AD7FF3">
            <w:pPr>
              <w:rPr>
                <w:sz w:val="21"/>
                <w:szCs w:val="21"/>
              </w:rPr>
            </w:pPr>
            <w:r>
              <w:rPr>
                <w:sz w:val="21"/>
                <w:szCs w:val="21"/>
              </w:rPr>
              <w:t>087-687 3985</w:t>
            </w:r>
          </w:p>
        </w:tc>
      </w:tr>
    </w:tbl>
    <w:p w:rsidR="00DF2181" w:rsidRPr="00DF2181" w:rsidRDefault="00DF2181" w:rsidP="00DF2181">
      <w:pPr>
        <w:pStyle w:val="ACLevel1"/>
        <w:numPr>
          <w:ilvl w:val="0"/>
          <w:numId w:val="0"/>
        </w:numPr>
        <w:ind w:left="720" w:hanging="720"/>
        <w:rPr>
          <w:sz w:val="21"/>
          <w:szCs w:val="21"/>
        </w:rPr>
      </w:pPr>
    </w:p>
    <w:p w:rsidR="00DF2181" w:rsidRPr="00DF2181" w:rsidRDefault="00DF2181" w:rsidP="00DF2181">
      <w:pPr>
        <w:pStyle w:val="ACLevel1"/>
        <w:keepNext/>
        <w:numPr>
          <w:ilvl w:val="0"/>
          <w:numId w:val="20"/>
        </w:numPr>
        <w:rPr>
          <w:sz w:val="21"/>
          <w:szCs w:val="21"/>
        </w:rPr>
      </w:pPr>
      <w:r w:rsidRPr="00DF2181">
        <w:rPr>
          <w:rStyle w:val="ACLevel1asheadingtext"/>
          <w:sz w:val="21"/>
          <w:szCs w:val="21"/>
        </w:rPr>
        <w:t>Disclosing P</w:t>
      </w:r>
      <w:bookmarkStart w:id="0" w:name="_GoBack"/>
      <w:bookmarkEnd w:id="0"/>
      <w:r w:rsidRPr="00DF2181">
        <w:rPr>
          <w:rStyle w:val="ACLevel1asheadingtext"/>
          <w:sz w:val="21"/>
          <w:szCs w:val="21"/>
        </w:rPr>
        <w:t xml:space="preserve">ersonal Data </w:t>
      </w:r>
    </w:p>
    <w:p w:rsidR="00DF2181" w:rsidRPr="00DF2181" w:rsidRDefault="00DF2181" w:rsidP="00DF2181">
      <w:pPr>
        <w:pStyle w:val="ACBody1"/>
        <w:rPr>
          <w:sz w:val="21"/>
          <w:szCs w:val="21"/>
        </w:rPr>
      </w:pPr>
      <w:r w:rsidRPr="00DF2181">
        <w:rPr>
          <w:sz w:val="21"/>
          <w:szCs w:val="21"/>
        </w:rPr>
        <w:t>From time to time, we may disclose Personal Data to third parties, or allow third parties to access Personal Data which we Process (for example where a law enforcement agency or regulatory authority submits a valid request for access to Personal Data). We may also share Personal Data: (a) with a statutory body where there is a lawful basis to do so; (b) with selected third parties including our legal, financial and tax advisors and sub-contractors; (c) if we are under a legal obligation to disclose Personal Data. This includes exchanging information with other organisations for the purposes of fraud prevention or investigation.</w:t>
      </w:r>
      <w:r w:rsidRPr="00DF2181">
        <w:t xml:space="preserve"> </w:t>
      </w:r>
    </w:p>
    <w:p w:rsidR="00DF2181" w:rsidRPr="00DF2181" w:rsidRDefault="00DF2181" w:rsidP="00DF2181">
      <w:pPr>
        <w:pStyle w:val="ACBody1"/>
        <w:rPr>
          <w:sz w:val="21"/>
          <w:szCs w:val="21"/>
        </w:rPr>
      </w:pPr>
      <w:r w:rsidRPr="00DF2181">
        <w:rPr>
          <w:sz w:val="21"/>
          <w:szCs w:val="21"/>
        </w:rPr>
        <w:t>Where we enter into agreements with third parties to Process Personal Data on our behalf we will ensure that the appropriate contractual protections are in place to safeguard such Personal Data where required by Data Protection Law.  Examples of such third party service providers that we engage, and to whom we may provide Personal Data include but are not limited to communications providers, payroll service providers, pension administrators, occupational health providers, marketing or recruitment agencies, operators of data centres used by us, security services, catering service providers, and professional advisors such as external lawyers, accountants, tax and pensions advisors.</w:t>
      </w:r>
    </w:p>
    <w:p w:rsidR="00DF2181" w:rsidRPr="00DF2181" w:rsidRDefault="00DF2181" w:rsidP="00DF2181">
      <w:pPr>
        <w:pStyle w:val="ACLevel1"/>
        <w:keepNext/>
        <w:numPr>
          <w:ilvl w:val="0"/>
          <w:numId w:val="20"/>
        </w:numPr>
        <w:rPr>
          <w:sz w:val="21"/>
          <w:szCs w:val="21"/>
        </w:rPr>
      </w:pPr>
      <w:r w:rsidRPr="00DF2181">
        <w:rPr>
          <w:rStyle w:val="ACLevel1asheadingtext"/>
          <w:sz w:val="21"/>
          <w:szCs w:val="21"/>
        </w:rPr>
        <w:t>Data Retention</w:t>
      </w:r>
    </w:p>
    <w:p w:rsidR="00DF2181" w:rsidRPr="00DF2181" w:rsidRDefault="00DF2181" w:rsidP="00DF2181">
      <w:pPr>
        <w:ind w:left="720"/>
        <w:rPr>
          <w:sz w:val="21"/>
          <w:szCs w:val="21"/>
        </w:rPr>
      </w:pPr>
      <w:r w:rsidRPr="00DF2181">
        <w:rPr>
          <w:sz w:val="21"/>
          <w:szCs w:val="21"/>
        </w:rPr>
        <w:t>We will keep Personal Data only for as long as the retention of such Personal Data is deemed necessary for the purposes for which that Personal Data are Processed (as such purposes are set out in this Notice).</w:t>
      </w:r>
    </w:p>
    <w:p w:rsidR="00DF2181" w:rsidRPr="00DF2181" w:rsidRDefault="00DF2181" w:rsidP="00DF2181">
      <w:pPr>
        <w:ind w:left="720"/>
        <w:rPr>
          <w:sz w:val="21"/>
          <w:szCs w:val="21"/>
        </w:rPr>
      </w:pPr>
    </w:p>
    <w:p w:rsidR="00DF2181" w:rsidRPr="00DF2181" w:rsidRDefault="00DF2181" w:rsidP="00DF2181">
      <w:pPr>
        <w:pStyle w:val="ACLevel1"/>
        <w:keepNext/>
        <w:numPr>
          <w:ilvl w:val="0"/>
          <w:numId w:val="20"/>
        </w:numPr>
        <w:rPr>
          <w:sz w:val="21"/>
          <w:szCs w:val="21"/>
        </w:rPr>
      </w:pPr>
      <w:r w:rsidRPr="00DF2181">
        <w:rPr>
          <w:rStyle w:val="ACLevel1asheadingtext"/>
          <w:sz w:val="21"/>
          <w:szCs w:val="21"/>
        </w:rPr>
        <w:t>Data Transfers outside the EEA</w:t>
      </w:r>
    </w:p>
    <w:p w:rsidR="00DF2181" w:rsidRPr="00DF2181" w:rsidRDefault="00DF2181" w:rsidP="00DF2181">
      <w:pPr>
        <w:ind w:left="720"/>
        <w:rPr>
          <w:sz w:val="21"/>
          <w:szCs w:val="21"/>
        </w:rPr>
      </w:pPr>
      <w:r w:rsidRPr="00DF2181">
        <w:rPr>
          <w:sz w:val="21"/>
          <w:szCs w:val="21"/>
        </w:rPr>
        <w:t xml:space="preserve">From time to time we may need to transfer Personal Data outside the EEA. This transfer will occur in accordance with applicable Data Protection Law. We take reasonable steps to ensure that the Personal Data is treated securely (typically through the use of EU-approved Model Contract Clauses) and in accordance with the </w:t>
      </w:r>
      <w:r w:rsidR="00981D5B">
        <w:rPr>
          <w:sz w:val="21"/>
          <w:szCs w:val="21"/>
        </w:rPr>
        <w:t xml:space="preserve">Stafford </w:t>
      </w:r>
      <w:proofErr w:type="gramStart"/>
      <w:r w:rsidR="00981D5B">
        <w:rPr>
          <w:sz w:val="21"/>
          <w:szCs w:val="21"/>
        </w:rPr>
        <w:t xml:space="preserve">Fuels </w:t>
      </w:r>
      <w:r w:rsidRPr="00DF2181">
        <w:rPr>
          <w:sz w:val="21"/>
          <w:szCs w:val="21"/>
        </w:rPr>
        <w:t xml:space="preserve"> Privacy</w:t>
      </w:r>
      <w:proofErr w:type="gramEnd"/>
      <w:r w:rsidRPr="00DF2181">
        <w:rPr>
          <w:sz w:val="21"/>
          <w:szCs w:val="21"/>
        </w:rPr>
        <w:t xml:space="preserve"> Policy when transferred outside the EEA. A copy of the Model Clauses is available on request. </w:t>
      </w:r>
    </w:p>
    <w:p w:rsidR="00DF2181" w:rsidRPr="00DF2181" w:rsidRDefault="00DF2181" w:rsidP="00DF2181">
      <w:pPr>
        <w:ind w:left="720"/>
        <w:rPr>
          <w:sz w:val="21"/>
          <w:szCs w:val="21"/>
        </w:rPr>
      </w:pPr>
    </w:p>
    <w:p w:rsidR="00DF2181" w:rsidRPr="00DF2181" w:rsidRDefault="00DF2181" w:rsidP="00DF2181">
      <w:pPr>
        <w:pStyle w:val="ACLevel1"/>
        <w:keepNext/>
        <w:numPr>
          <w:ilvl w:val="0"/>
          <w:numId w:val="20"/>
        </w:numPr>
        <w:rPr>
          <w:sz w:val="21"/>
          <w:szCs w:val="21"/>
        </w:rPr>
      </w:pPr>
      <w:r w:rsidRPr="00DF2181">
        <w:rPr>
          <w:rStyle w:val="ACLevel1asheadingtext"/>
          <w:sz w:val="21"/>
          <w:szCs w:val="21"/>
        </w:rPr>
        <w:t xml:space="preserve">Further Information/Complaints Procedure </w:t>
      </w:r>
    </w:p>
    <w:p w:rsidR="00DF2181" w:rsidRPr="00DF2181" w:rsidRDefault="00DF2181" w:rsidP="00DF2181">
      <w:pPr>
        <w:ind w:left="720"/>
        <w:rPr>
          <w:sz w:val="21"/>
          <w:szCs w:val="21"/>
        </w:rPr>
      </w:pPr>
      <w:r w:rsidRPr="00DF2181">
        <w:rPr>
          <w:sz w:val="21"/>
          <w:szCs w:val="21"/>
        </w:rPr>
        <w:t xml:space="preserve">You can ask a question or make a complaint about this Notice, the </w:t>
      </w:r>
      <w:r w:rsidR="00981D5B">
        <w:rPr>
          <w:sz w:val="21"/>
          <w:szCs w:val="21"/>
        </w:rPr>
        <w:t xml:space="preserve">Stafford </w:t>
      </w:r>
      <w:proofErr w:type="gramStart"/>
      <w:r w:rsidR="00981D5B">
        <w:rPr>
          <w:sz w:val="21"/>
          <w:szCs w:val="21"/>
        </w:rPr>
        <w:t xml:space="preserve">Fuels </w:t>
      </w:r>
      <w:r w:rsidRPr="00DF2181">
        <w:rPr>
          <w:sz w:val="21"/>
          <w:szCs w:val="21"/>
        </w:rPr>
        <w:t xml:space="preserve"> Privacy</w:t>
      </w:r>
      <w:proofErr w:type="gramEnd"/>
      <w:r w:rsidRPr="00DF2181">
        <w:rPr>
          <w:sz w:val="21"/>
          <w:szCs w:val="21"/>
        </w:rPr>
        <w:t xml:space="preserve"> Policy and/or the Processing of your Personal Data by contacting the </w:t>
      </w:r>
      <w:r w:rsidR="00981D5B">
        <w:rPr>
          <w:sz w:val="21"/>
          <w:szCs w:val="21"/>
        </w:rPr>
        <w:t xml:space="preserve">Stafford Fuels </w:t>
      </w:r>
      <w:r w:rsidR="00D55535">
        <w:rPr>
          <w:sz w:val="21"/>
          <w:szCs w:val="21"/>
        </w:rPr>
        <w:t xml:space="preserve"> </w:t>
      </w:r>
      <w:r w:rsidR="00AD7FF3">
        <w:rPr>
          <w:sz w:val="21"/>
          <w:szCs w:val="21"/>
        </w:rPr>
        <w:t>Managing Director</w:t>
      </w:r>
      <w:r w:rsidRPr="00DF2181">
        <w:rPr>
          <w:sz w:val="21"/>
          <w:szCs w:val="21"/>
        </w:rPr>
        <w:t xml:space="preserve">, at the details set out in paragraph 6 above. While you may make a complaint in respect of our compliance with Data Protection Law to the Irish Data Protection Commission, we request that you contact the </w:t>
      </w:r>
      <w:r w:rsidR="00981D5B">
        <w:rPr>
          <w:sz w:val="21"/>
          <w:szCs w:val="21"/>
        </w:rPr>
        <w:t xml:space="preserve">Stafford </w:t>
      </w:r>
      <w:proofErr w:type="gramStart"/>
      <w:r w:rsidR="00981D5B">
        <w:rPr>
          <w:sz w:val="21"/>
          <w:szCs w:val="21"/>
        </w:rPr>
        <w:t xml:space="preserve">Fuels </w:t>
      </w:r>
      <w:r w:rsidR="00D55535">
        <w:rPr>
          <w:sz w:val="21"/>
          <w:szCs w:val="21"/>
        </w:rPr>
        <w:t xml:space="preserve"> </w:t>
      </w:r>
      <w:r w:rsidR="00AD7FF3">
        <w:rPr>
          <w:sz w:val="21"/>
          <w:szCs w:val="21"/>
        </w:rPr>
        <w:t>Managing</w:t>
      </w:r>
      <w:proofErr w:type="gramEnd"/>
      <w:r w:rsidR="00AD7FF3">
        <w:rPr>
          <w:sz w:val="21"/>
          <w:szCs w:val="21"/>
        </w:rPr>
        <w:t xml:space="preserve"> Director</w:t>
      </w:r>
      <w:r w:rsidRPr="00DF2181">
        <w:rPr>
          <w:sz w:val="21"/>
          <w:szCs w:val="21"/>
        </w:rPr>
        <w:t>, in the first instance to give us the opportunity to address any concerns that you may have.</w:t>
      </w:r>
    </w:p>
    <w:p w:rsidR="00DF2181" w:rsidRPr="00DF2181" w:rsidRDefault="00DF2181" w:rsidP="00DF2181">
      <w:pPr>
        <w:adjustRightInd/>
        <w:spacing w:after="200" w:line="276" w:lineRule="auto"/>
        <w:jc w:val="center"/>
        <w:rPr>
          <w:sz w:val="21"/>
          <w:szCs w:val="21"/>
        </w:rPr>
      </w:pPr>
      <w:r w:rsidRPr="00DF2181">
        <w:rPr>
          <w:sz w:val="21"/>
          <w:szCs w:val="21"/>
        </w:rPr>
        <w:br w:type="page"/>
      </w:r>
      <w:r w:rsidRPr="00DF2181">
        <w:rPr>
          <w:b/>
          <w:sz w:val="21"/>
          <w:szCs w:val="21"/>
        </w:rPr>
        <w:lastRenderedPageBreak/>
        <w:t>ANNEX I – Glossary</w:t>
      </w:r>
    </w:p>
    <w:p w:rsidR="00DF2181" w:rsidRPr="00DF2181" w:rsidRDefault="00DF2181" w:rsidP="00DF2181">
      <w:pPr>
        <w:pStyle w:val="Body"/>
        <w:rPr>
          <w:sz w:val="21"/>
          <w:szCs w:val="21"/>
        </w:rPr>
      </w:pPr>
      <w:r w:rsidRPr="00DF2181">
        <w:rPr>
          <w:sz w:val="21"/>
          <w:szCs w:val="21"/>
        </w:rPr>
        <w:t>In this Notice, the terms below have the following meaning:</w:t>
      </w:r>
    </w:p>
    <w:p w:rsidR="00DF2181" w:rsidRPr="00DF2181" w:rsidRDefault="00DF2181" w:rsidP="00DF2181">
      <w:pPr>
        <w:pStyle w:val="Body"/>
        <w:rPr>
          <w:sz w:val="21"/>
          <w:szCs w:val="21"/>
        </w:rPr>
      </w:pPr>
      <w:r w:rsidRPr="00DF2181">
        <w:rPr>
          <w:sz w:val="21"/>
          <w:szCs w:val="21"/>
        </w:rPr>
        <w:t>“</w:t>
      </w:r>
      <w:r w:rsidRPr="00DF2181">
        <w:rPr>
          <w:b/>
          <w:sz w:val="21"/>
          <w:szCs w:val="21"/>
        </w:rPr>
        <w:t>Data Breach</w:t>
      </w:r>
      <w:r w:rsidRPr="00DF2181">
        <w:rPr>
          <w:sz w:val="21"/>
          <w:szCs w:val="21"/>
        </w:rPr>
        <w:t>” means a breach of security leading to the accidental or unlawful destruction, loss, alteration, unauthorised disclosure of, or access to, Personal Data transmitted, stored or otherwise Processed.</w:t>
      </w:r>
    </w:p>
    <w:p w:rsidR="00DF2181" w:rsidRPr="00DF2181" w:rsidRDefault="00DF2181" w:rsidP="00DF2181">
      <w:pPr>
        <w:pStyle w:val="Body"/>
        <w:rPr>
          <w:sz w:val="21"/>
          <w:szCs w:val="21"/>
        </w:rPr>
      </w:pPr>
      <w:r w:rsidRPr="00DF2181">
        <w:rPr>
          <w:sz w:val="21"/>
          <w:szCs w:val="21"/>
        </w:rPr>
        <w:t>“</w:t>
      </w:r>
      <w:r w:rsidRPr="00DF2181">
        <w:rPr>
          <w:b/>
          <w:sz w:val="21"/>
          <w:szCs w:val="21"/>
        </w:rPr>
        <w:t>Data Controller</w:t>
      </w:r>
      <w:r w:rsidRPr="00DF2181">
        <w:rPr>
          <w:sz w:val="21"/>
          <w:szCs w:val="21"/>
        </w:rPr>
        <w:t>” means the entity which, alone or jointly with others, determines the purposes and means of the Processing of Personal Data.</w:t>
      </w:r>
    </w:p>
    <w:p w:rsidR="00DF2181" w:rsidRPr="00DF2181" w:rsidRDefault="00DF2181" w:rsidP="00DF2181">
      <w:pPr>
        <w:pStyle w:val="Body"/>
        <w:rPr>
          <w:sz w:val="21"/>
          <w:szCs w:val="21"/>
        </w:rPr>
      </w:pPr>
      <w:r w:rsidRPr="00DF2181">
        <w:rPr>
          <w:sz w:val="21"/>
          <w:szCs w:val="21"/>
        </w:rPr>
        <w:t>“</w:t>
      </w:r>
      <w:r w:rsidRPr="00DF2181">
        <w:rPr>
          <w:b/>
          <w:sz w:val="21"/>
          <w:szCs w:val="21"/>
        </w:rPr>
        <w:t>Data Processor</w:t>
      </w:r>
      <w:r w:rsidRPr="00DF2181">
        <w:rPr>
          <w:sz w:val="21"/>
          <w:szCs w:val="21"/>
        </w:rPr>
        <w:t xml:space="preserve">” means the party that Processes Personal Data on behalf of the Data Controller (for example, a payroll service provider). </w:t>
      </w:r>
    </w:p>
    <w:p w:rsidR="00DF2181" w:rsidRPr="00DF2181" w:rsidRDefault="00DF2181" w:rsidP="00DF2181">
      <w:pPr>
        <w:pStyle w:val="Body"/>
        <w:rPr>
          <w:sz w:val="21"/>
          <w:szCs w:val="21"/>
        </w:rPr>
      </w:pPr>
      <w:r w:rsidRPr="00DF2181">
        <w:rPr>
          <w:sz w:val="21"/>
          <w:szCs w:val="21"/>
        </w:rPr>
        <w:t>“</w:t>
      </w:r>
      <w:r w:rsidRPr="00DF2181">
        <w:rPr>
          <w:b/>
          <w:sz w:val="21"/>
          <w:szCs w:val="21"/>
        </w:rPr>
        <w:t>Data Protection Law</w:t>
      </w:r>
      <w:r w:rsidRPr="00DF2181">
        <w:rPr>
          <w:sz w:val="21"/>
          <w:szCs w:val="21"/>
        </w:rPr>
        <w:t>” means the General Data Protection Regulation (No 2016/679) (“</w:t>
      </w:r>
      <w:r w:rsidRPr="00DF2181">
        <w:rPr>
          <w:b/>
          <w:sz w:val="21"/>
          <w:szCs w:val="21"/>
        </w:rPr>
        <w:t>GDPR</w:t>
      </w:r>
      <w:r w:rsidRPr="00DF2181">
        <w:rPr>
          <w:sz w:val="21"/>
          <w:szCs w:val="21"/>
        </w:rPr>
        <w:t xml:space="preserve">”) and the Data Protection Acts 1988 to 2018] and any other laws which apply to </w:t>
      </w:r>
      <w:r w:rsidR="00981D5B">
        <w:rPr>
          <w:sz w:val="21"/>
          <w:szCs w:val="21"/>
        </w:rPr>
        <w:t xml:space="preserve">Stafford </w:t>
      </w:r>
      <w:proofErr w:type="gramStart"/>
      <w:r w:rsidR="00981D5B">
        <w:rPr>
          <w:sz w:val="21"/>
          <w:szCs w:val="21"/>
        </w:rPr>
        <w:t xml:space="preserve">Fuels </w:t>
      </w:r>
      <w:r w:rsidRPr="00DF2181">
        <w:rPr>
          <w:sz w:val="21"/>
          <w:szCs w:val="21"/>
        </w:rPr>
        <w:t xml:space="preserve"> in</w:t>
      </w:r>
      <w:proofErr w:type="gramEnd"/>
      <w:r w:rsidRPr="00DF2181">
        <w:rPr>
          <w:sz w:val="21"/>
          <w:szCs w:val="21"/>
        </w:rPr>
        <w:t xml:space="preserve"> relation to the Processing of Personal Data.</w:t>
      </w:r>
    </w:p>
    <w:p w:rsidR="00DF2181" w:rsidRPr="00DF2181" w:rsidRDefault="00DF2181" w:rsidP="00DF2181">
      <w:pPr>
        <w:pStyle w:val="Body"/>
        <w:rPr>
          <w:sz w:val="21"/>
          <w:szCs w:val="21"/>
        </w:rPr>
      </w:pPr>
      <w:r w:rsidRPr="00DF2181">
        <w:rPr>
          <w:sz w:val="21"/>
          <w:szCs w:val="21"/>
        </w:rPr>
        <w:t>“</w:t>
      </w:r>
      <w:r w:rsidRPr="00DF2181">
        <w:rPr>
          <w:b/>
          <w:sz w:val="21"/>
          <w:szCs w:val="21"/>
        </w:rPr>
        <w:t>European Economic Area</w:t>
      </w:r>
      <w:r w:rsidRPr="00DF2181">
        <w:rPr>
          <w:sz w:val="21"/>
          <w:szCs w:val="21"/>
        </w:rPr>
        <w:t>” or “</w:t>
      </w:r>
      <w:r w:rsidRPr="00DF2181">
        <w:rPr>
          <w:b/>
          <w:sz w:val="21"/>
          <w:szCs w:val="21"/>
        </w:rPr>
        <w:t>EEA</w:t>
      </w:r>
      <w:r w:rsidRPr="00DF2181">
        <w:rPr>
          <w:sz w:val="21"/>
          <w:szCs w:val="21"/>
        </w:rPr>
        <w:t>” means Austria, Belgium, Bulgaria, Croatia, Republic of Cyprus, Czech Republic, Denmark, Estonia, Finland, France, Germany, Greece, Hungary, Ireland, Italy, Latvia, Lithuania, Luxembourg, Malta, Netherlands, Poland, Portugal, Romania, Slovakia, Slovenia, Spain, Sweden, the UK, Iceland, Liechtenstein, and Norway.</w:t>
      </w:r>
    </w:p>
    <w:p w:rsidR="00DF2181" w:rsidRPr="00DF2181" w:rsidRDefault="00DF2181" w:rsidP="00DF2181">
      <w:pPr>
        <w:pStyle w:val="Body"/>
        <w:rPr>
          <w:sz w:val="21"/>
          <w:szCs w:val="21"/>
        </w:rPr>
      </w:pPr>
      <w:r w:rsidRPr="00DF2181">
        <w:rPr>
          <w:sz w:val="21"/>
          <w:szCs w:val="21"/>
        </w:rPr>
        <w:t>“</w:t>
      </w:r>
      <w:r w:rsidRPr="00DF2181">
        <w:rPr>
          <w:b/>
          <w:sz w:val="21"/>
          <w:szCs w:val="21"/>
        </w:rPr>
        <w:t>Personal Data</w:t>
      </w:r>
      <w:r w:rsidRPr="00DF2181">
        <w:rPr>
          <w:sz w:val="21"/>
          <w:szCs w:val="21"/>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DF2181" w:rsidRPr="00DF2181" w:rsidRDefault="00DF2181" w:rsidP="00DF2181">
      <w:pPr>
        <w:pStyle w:val="Body"/>
        <w:rPr>
          <w:sz w:val="21"/>
          <w:szCs w:val="21"/>
        </w:rPr>
      </w:pPr>
      <w:r w:rsidRPr="00DF2181">
        <w:rPr>
          <w:sz w:val="21"/>
          <w:szCs w:val="21"/>
        </w:rPr>
        <w:t>“</w:t>
      </w:r>
      <w:r w:rsidRPr="00DF2181">
        <w:rPr>
          <w:b/>
          <w:sz w:val="21"/>
          <w:szCs w:val="21"/>
        </w:rPr>
        <w:t>Processing</w:t>
      </w:r>
      <w:r w:rsidRPr="00DF2181">
        <w:rPr>
          <w:sz w:val="21"/>
          <w:szCs w:val="21"/>
        </w:rPr>
        <w:t>”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w:t>
      </w:r>
      <w:r w:rsidRPr="00DF2181">
        <w:rPr>
          <w:b/>
          <w:sz w:val="21"/>
          <w:szCs w:val="21"/>
        </w:rPr>
        <w:t>Process</w:t>
      </w:r>
      <w:r w:rsidRPr="00DF2181">
        <w:rPr>
          <w:sz w:val="21"/>
          <w:szCs w:val="21"/>
        </w:rPr>
        <w:t>” and “</w:t>
      </w:r>
      <w:r w:rsidRPr="00DF2181">
        <w:rPr>
          <w:b/>
          <w:sz w:val="21"/>
          <w:szCs w:val="21"/>
        </w:rPr>
        <w:t>Processing</w:t>
      </w:r>
      <w:r w:rsidRPr="00DF2181">
        <w:rPr>
          <w:sz w:val="21"/>
          <w:szCs w:val="21"/>
        </w:rPr>
        <w:t>” are interpreted accordingly.</w:t>
      </w:r>
    </w:p>
    <w:p w:rsidR="00DF2181" w:rsidRPr="00DF2181" w:rsidRDefault="00DF2181" w:rsidP="00DF2181">
      <w:pPr>
        <w:pStyle w:val="Body"/>
        <w:rPr>
          <w:sz w:val="21"/>
          <w:szCs w:val="21"/>
        </w:rPr>
      </w:pPr>
      <w:r w:rsidRPr="00DF2181">
        <w:rPr>
          <w:sz w:val="21"/>
          <w:szCs w:val="21"/>
        </w:rPr>
        <w:t>“</w:t>
      </w:r>
      <w:r w:rsidRPr="00DF2181">
        <w:rPr>
          <w:b/>
          <w:sz w:val="21"/>
          <w:szCs w:val="21"/>
        </w:rPr>
        <w:t>Special Categories of Personal Data</w:t>
      </w:r>
      <w:r w:rsidRPr="00DF2181">
        <w:rPr>
          <w:sz w:val="21"/>
          <w:szCs w:val="21"/>
        </w:rPr>
        <w:t>” (or “</w:t>
      </w:r>
      <w:r w:rsidRPr="00DF2181">
        <w:rPr>
          <w:b/>
          <w:sz w:val="21"/>
          <w:szCs w:val="21"/>
        </w:rPr>
        <w:t>SCD</w:t>
      </w:r>
      <w:r w:rsidRPr="00DF2181">
        <w:rPr>
          <w:sz w:val="21"/>
          <w:szCs w:val="21"/>
        </w:rPr>
        <w:t>”) are types of Personal Data that reveal any of the following information relating to an individual: racial or ethnic origin, political opinions, religious or philosophical beliefs, or trade union membership. Special Categories of Personal Data also include the Processing of genetic data, biometric data (for example, fingerprints or facial images), health data, data concerning sex life or sexual orientation and any Personal Data relating to criminal convictions or offences.</w:t>
      </w:r>
    </w:p>
    <w:p w:rsidR="00DF2181" w:rsidRPr="00DF2181" w:rsidRDefault="00DF2181" w:rsidP="00DF2181">
      <w:pPr>
        <w:pStyle w:val="ACAppendix"/>
        <w:numPr>
          <w:ilvl w:val="0"/>
          <w:numId w:val="0"/>
        </w:numPr>
        <w:rPr>
          <w:sz w:val="21"/>
          <w:szCs w:val="21"/>
        </w:rPr>
      </w:pPr>
      <w:r>
        <w:br w:type="page"/>
      </w:r>
      <w:r w:rsidRPr="00DF2181">
        <w:rPr>
          <w:sz w:val="21"/>
          <w:szCs w:val="21"/>
        </w:rPr>
        <w:lastRenderedPageBreak/>
        <w:t>APPENDIX II – Data Processing Purposes</w:t>
      </w:r>
    </w:p>
    <w:p w:rsidR="00DF2181" w:rsidRPr="00DF2181" w:rsidRDefault="00DF2181" w:rsidP="00DF2181">
      <w:pPr>
        <w:pStyle w:val="Body"/>
        <w:rPr>
          <w:sz w:val="21"/>
          <w:szCs w:val="21"/>
        </w:rPr>
      </w:pPr>
      <w:r w:rsidRPr="00DF2181">
        <w:rPr>
          <w:sz w:val="21"/>
          <w:szCs w:val="21"/>
        </w:rPr>
        <w:t xml:space="preserve">The following table describes the type of Personal Data that is collected by </w:t>
      </w:r>
      <w:r w:rsidR="00981D5B">
        <w:rPr>
          <w:sz w:val="21"/>
          <w:szCs w:val="21"/>
        </w:rPr>
        <w:t xml:space="preserve">Stafford </w:t>
      </w:r>
      <w:proofErr w:type="gramStart"/>
      <w:r w:rsidR="00981D5B">
        <w:rPr>
          <w:sz w:val="21"/>
          <w:szCs w:val="21"/>
        </w:rPr>
        <w:t xml:space="preserve">Fuels </w:t>
      </w:r>
      <w:r w:rsidRPr="00DF2181">
        <w:rPr>
          <w:sz w:val="21"/>
          <w:szCs w:val="21"/>
        </w:rPr>
        <w:t xml:space="preserve"> relating</w:t>
      </w:r>
      <w:proofErr w:type="gramEnd"/>
      <w:r w:rsidRPr="00DF2181">
        <w:rPr>
          <w:sz w:val="21"/>
          <w:szCs w:val="21"/>
        </w:rPr>
        <w:t xml:space="preserve"> to </w:t>
      </w:r>
      <w:r w:rsidR="00981D5B">
        <w:rPr>
          <w:sz w:val="21"/>
          <w:szCs w:val="21"/>
        </w:rPr>
        <w:t xml:space="preserve">Stafford Fuels </w:t>
      </w:r>
      <w:r w:rsidRPr="00DF2181">
        <w:rPr>
          <w:sz w:val="21"/>
          <w:szCs w:val="21"/>
        </w:rPr>
        <w:t xml:space="preserve"> employees and the purposes and lawful basis for Processing that data under by Data Protection Law: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3866"/>
        <w:gridCol w:w="1666"/>
      </w:tblGrid>
      <w:tr w:rsidR="00DF2181" w:rsidRPr="00DF2181" w:rsidTr="00DF2181">
        <w:trPr>
          <w:trHeight w:val="348"/>
          <w:tblHeader/>
        </w:trPr>
        <w:tc>
          <w:tcPr>
            <w:tcW w:w="0" w:type="auto"/>
            <w:shd w:val="clear" w:color="auto" w:fill="B8CCE4" w:themeFill="accent1" w:themeFillTint="66"/>
          </w:tcPr>
          <w:p w:rsidR="00DF2181" w:rsidRPr="00DF2181" w:rsidRDefault="00DF2181" w:rsidP="00DF2181">
            <w:pPr>
              <w:rPr>
                <w:b/>
                <w:sz w:val="20"/>
                <w:szCs w:val="20"/>
              </w:rPr>
            </w:pPr>
            <w:r w:rsidRPr="00DF2181">
              <w:rPr>
                <w:b/>
                <w:sz w:val="20"/>
                <w:szCs w:val="20"/>
              </w:rPr>
              <w:t xml:space="preserve">Description of Personal Data  </w:t>
            </w:r>
          </w:p>
        </w:tc>
        <w:tc>
          <w:tcPr>
            <w:tcW w:w="0" w:type="auto"/>
            <w:shd w:val="clear" w:color="auto" w:fill="B8CCE4" w:themeFill="accent1" w:themeFillTint="66"/>
          </w:tcPr>
          <w:p w:rsidR="00DF2181" w:rsidRPr="00DF2181" w:rsidRDefault="00DF2181" w:rsidP="00DF2181">
            <w:pPr>
              <w:rPr>
                <w:b/>
                <w:sz w:val="20"/>
                <w:szCs w:val="20"/>
              </w:rPr>
            </w:pPr>
            <w:r w:rsidRPr="00DF2181">
              <w:rPr>
                <w:b/>
                <w:sz w:val="20"/>
                <w:szCs w:val="20"/>
              </w:rPr>
              <w:t xml:space="preserve">Purpose of Processing </w:t>
            </w:r>
          </w:p>
        </w:tc>
        <w:tc>
          <w:tcPr>
            <w:tcW w:w="0" w:type="auto"/>
            <w:shd w:val="clear" w:color="auto" w:fill="B8CCE4" w:themeFill="accent1" w:themeFillTint="66"/>
          </w:tcPr>
          <w:p w:rsidR="00DF2181" w:rsidRPr="00DF2181" w:rsidRDefault="00DF2181" w:rsidP="00DF2181">
            <w:pPr>
              <w:rPr>
                <w:b/>
                <w:sz w:val="20"/>
                <w:szCs w:val="20"/>
              </w:rPr>
            </w:pPr>
            <w:r w:rsidRPr="00DF2181">
              <w:rPr>
                <w:b/>
                <w:sz w:val="20"/>
                <w:szCs w:val="20"/>
              </w:rPr>
              <w:t xml:space="preserve">GDPR lawful basis </w:t>
            </w:r>
          </w:p>
        </w:tc>
      </w:tr>
      <w:tr w:rsidR="00DF2181" w:rsidRPr="00DF2181" w:rsidTr="00DF2181">
        <w:trPr>
          <w:trHeight w:val="1822"/>
        </w:trPr>
        <w:tc>
          <w:tcPr>
            <w:tcW w:w="0" w:type="auto"/>
          </w:tcPr>
          <w:p w:rsidR="00DF2181" w:rsidRPr="00DF2181" w:rsidRDefault="00DF2181" w:rsidP="00DF2181">
            <w:pPr>
              <w:rPr>
                <w:sz w:val="20"/>
                <w:szCs w:val="20"/>
              </w:rPr>
            </w:pPr>
            <w:r w:rsidRPr="00DF2181">
              <w:rPr>
                <w:sz w:val="20"/>
                <w:szCs w:val="20"/>
              </w:rPr>
              <w:t>Information contained in: CVs,  cover letters and job applications (</w:t>
            </w:r>
            <w:r w:rsidRPr="00DF2181">
              <w:rPr>
                <w:i/>
                <w:sz w:val="20"/>
                <w:szCs w:val="20"/>
              </w:rPr>
              <w:t>including</w:t>
            </w:r>
            <w:r w:rsidRPr="00DF2181">
              <w:rPr>
                <w:sz w:val="20"/>
                <w:szCs w:val="20"/>
              </w:rPr>
              <w:t xml:space="preserve"> </w:t>
            </w:r>
            <w:r w:rsidRPr="00DF2181">
              <w:rPr>
                <w:i/>
                <w:sz w:val="20"/>
                <w:szCs w:val="20"/>
              </w:rPr>
              <w:t>previous employment background, education history, professional qualifications, references, language and other relevant skills, certification, certification expiration dates), interview notes and feedback; details on performance management ratings).</w:t>
            </w:r>
          </w:p>
          <w:p w:rsidR="00DF2181" w:rsidRPr="00DF2181" w:rsidRDefault="00DF2181" w:rsidP="00DF2181">
            <w:pPr>
              <w:rPr>
                <w:sz w:val="20"/>
                <w:szCs w:val="20"/>
              </w:rPr>
            </w:pPr>
          </w:p>
        </w:tc>
        <w:tc>
          <w:tcPr>
            <w:tcW w:w="0" w:type="auto"/>
          </w:tcPr>
          <w:p w:rsidR="00DF2181" w:rsidRPr="00DF2181" w:rsidRDefault="00DF2181" w:rsidP="00DF2181">
            <w:pPr>
              <w:rPr>
                <w:sz w:val="20"/>
                <w:szCs w:val="20"/>
              </w:rPr>
            </w:pPr>
            <w:r w:rsidRPr="00DF2181">
              <w:rPr>
                <w:sz w:val="20"/>
                <w:szCs w:val="20"/>
              </w:rPr>
              <w:t xml:space="preserve">Recruitment, personnel administration and HR management, including performance analysis, promotion purposes and booking work related travel and accommodation. </w:t>
            </w:r>
          </w:p>
        </w:tc>
        <w:tc>
          <w:tcPr>
            <w:tcW w:w="0" w:type="auto"/>
          </w:tcPr>
          <w:p w:rsidR="00DF2181" w:rsidRPr="00DF2181" w:rsidRDefault="00DF2181" w:rsidP="00DF2181">
            <w:pPr>
              <w:rPr>
                <w:sz w:val="20"/>
                <w:szCs w:val="20"/>
              </w:rPr>
            </w:pPr>
            <w:r w:rsidRPr="00DF2181">
              <w:rPr>
                <w:sz w:val="20"/>
                <w:szCs w:val="20"/>
              </w:rPr>
              <w:t>For the performance of contracts. (Art 6(1)(b)).</w:t>
            </w:r>
          </w:p>
          <w:p w:rsidR="00DF2181" w:rsidRPr="00DF2181" w:rsidRDefault="00DF2181" w:rsidP="00DF2181">
            <w:pPr>
              <w:rPr>
                <w:sz w:val="20"/>
                <w:szCs w:val="20"/>
              </w:rPr>
            </w:pPr>
          </w:p>
        </w:tc>
      </w:tr>
      <w:tr w:rsidR="00DF2181" w:rsidRPr="00DF2181" w:rsidTr="00DF2181">
        <w:tc>
          <w:tcPr>
            <w:tcW w:w="0" w:type="auto"/>
          </w:tcPr>
          <w:p w:rsidR="00DF2181" w:rsidRPr="00DF2181" w:rsidRDefault="00DF2181" w:rsidP="00DF2181">
            <w:pPr>
              <w:spacing w:after="220"/>
              <w:rPr>
                <w:sz w:val="20"/>
                <w:szCs w:val="20"/>
              </w:rPr>
            </w:pPr>
            <w:r w:rsidRPr="00DF2181">
              <w:rPr>
                <w:sz w:val="20"/>
                <w:szCs w:val="20"/>
              </w:rPr>
              <w:t>HR files and records (</w:t>
            </w:r>
            <w:r w:rsidRPr="00DF2181">
              <w:rPr>
                <w:i/>
                <w:sz w:val="20"/>
                <w:szCs w:val="20"/>
              </w:rPr>
              <w:t xml:space="preserve">including </w:t>
            </w:r>
            <w:r w:rsidRPr="00DF2181">
              <w:rPr>
                <w:sz w:val="20"/>
                <w:szCs w:val="20"/>
              </w:rPr>
              <w:t>Name, address(</w:t>
            </w:r>
            <w:proofErr w:type="spellStart"/>
            <w:r w:rsidRPr="00DF2181">
              <w:rPr>
                <w:sz w:val="20"/>
                <w:szCs w:val="20"/>
              </w:rPr>
              <w:t>es</w:t>
            </w:r>
            <w:proofErr w:type="spellEnd"/>
            <w:r w:rsidRPr="00DF2181">
              <w:rPr>
                <w:sz w:val="20"/>
                <w:szCs w:val="20"/>
              </w:rPr>
              <w:t xml:space="preserve">), telephone, mobile, email, salary details, pension membership, union membership, DOB, contract, next of kin, CV, references, driving licenses (drivers &amp; staff with company cars), GPS tracking for drivers of company vehicles. </w:t>
            </w:r>
            <w:r w:rsidRPr="00DF2181">
              <w:rPr>
                <w:i/>
                <w:sz w:val="20"/>
                <w:szCs w:val="20"/>
              </w:rPr>
              <w:t>passport copy, training records, disciplinary records</w:t>
            </w:r>
            <w:r w:rsidRPr="00DF2181">
              <w:rPr>
                <w:sz w:val="20"/>
                <w:szCs w:val="20"/>
              </w:rPr>
              <w:t xml:space="preserve">, </w:t>
            </w:r>
            <w:r w:rsidRPr="00DF2181">
              <w:rPr>
                <w:i/>
                <w:sz w:val="20"/>
                <w:szCs w:val="20"/>
              </w:rPr>
              <w:t>salary details, benefits, compensation type, pay grade, awards, pay frequency, effective date of current compensation, salary reviews, banking details, working time records (including vacation and other absence records, leave status, hours worked and department standard hours), pay data, national insurance or other number, marital/civil partnership status, domestic partners and dependents</w:t>
            </w:r>
            <w:r w:rsidRPr="00DF2181">
              <w:rPr>
                <w:sz w:val="20"/>
                <w:szCs w:val="20"/>
              </w:rPr>
              <w:t>).</w:t>
            </w:r>
          </w:p>
        </w:tc>
        <w:tc>
          <w:tcPr>
            <w:tcW w:w="0" w:type="auto"/>
          </w:tcPr>
          <w:p w:rsidR="00DF2181" w:rsidRPr="00DF2181" w:rsidRDefault="00DF2181" w:rsidP="00DF2181">
            <w:pPr>
              <w:rPr>
                <w:sz w:val="20"/>
                <w:szCs w:val="20"/>
              </w:rPr>
            </w:pPr>
            <w:r w:rsidRPr="00DF2181">
              <w:rPr>
                <w:sz w:val="20"/>
                <w:szCs w:val="20"/>
              </w:rPr>
              <w:t xml:space="preserve">Personnel administration and HR management, including performance analysis and promotion purposes. </w:t>
            </w:r>
          </w:p>
          <w:p w:rsidR="00DF2181" w:rsidRPr="00DF2181" w:rsidRDefault="00DF2181" w:rsidP="00DF2181">
            <w:pPr>
              <w:ind w:left="720"/>
              <w:rPr>
                <w:sz w:val="20"/>
                <w:szCs w:val="20"/>
              </w:rPr>
            </w:pPr>
          </w:p>
        </w:tc>
        <w:tc>
          <w:tcPr>
            <w:tcW w:w="0" w:type="auto"/>
          </w:tcPr>
          <w:p w:rsidR="00DF2181" w:rsidRPr="00DF2181" w:rsidRDefault="00DF2181" w:rsidP="00DF2181">
            <w:pPr>
              <w:rPr>
                <w:sz w:val="20"/>
                <w:szCs w:val="20"/>
              </w:rPr>
            </w:pPr>
            <w:r w:rsidRPr="00DF2181">
              <w:rPr>
                <w:sz w:val="20"/>
                <w:szCs w:val="20"/>
              </w:rPr>
              <w:t>Compliance with legal obligations under employment legislation (Art 6(1)(c); and</w:t>
            </w:r>
          </w:p>
          <w:p w:rsidR="00DF2181" w:rsidRPr="00DF2181" w:rsidRDefault="00DF2181" w:rsidP="00DF2181">
            <w:pPr>
              <w:rPr>
                <w:sz w:val="20"/>
                <w:szCs w:val="20"/>
              </w:rPr>
            </w:pPr>
          </w:p>
          <w:p w:rsidR="00DF2181" w:rsidRPr="00DF2181" w:rsidRDefault="00DF2181" w:rsidP="00DF2181">
            <w:pPr>
              <w:rPr>
                <w:sz w:val="20"/>
                <w:szCs w:val="20"/>
              </w:rPr>
            </w:pPr>
            <w:r w:rsidRPr="00DF2181">
              <w:rPr>
                <w:sz w:val="20"/>
                <w:szCs w:val="20"/>
              </w:rPr>
              <w:t xml:space="preserve">Protecting the vital interests of employees and other persons (Art 6(1)(d)). </w:t>
            </w:r>
          </w:p>
          <w:p w:rsidR="00DF2181" w:rsidRPr="00DF2181" w:rsidRDefault="00DF2181" w:rsidP="00DF2181">
            <w:pPr>
              <w:rPr>
                <w:sz w:val="20"/>
                <w:szCs w:val="20"/>
              </w:rPr>
            </w:pPr>
          </w:p>
        </w:tc>
      </w:tr>
      <w:tr w:rsidR="00DF2181" w:rsidRPr="00DF2181" w:rsidTr="00DF2181">
        <w:tc>
          <w:tcPr>
            <w:tcW w:w="0" w:type="auto"/>
          </w:tcPr>
          <w:p w:rsidR="00DF2181" w:rsidRPr="00DF2181" w:rsidRDefault="00DF2181" w:rsidP="00805EB9">
            <w:pPr>
              <w:rPr>
                <w:sz w:val="20"/>
                <w:szCs w:val="20"/>
              </w:rPr>
            </w:pPr>
            <w:r w:rsidRPr="00DF2181">
              <w:rPr>
                <w:sz w:val="20"/>
                <w:szCs w:val="20"/>
              </w:rPr>
              <w:t xml:space="preserve">Data related to pensions </w:t>
            </w:r>
          </w:p>
        </w:tc>
        <w:tc>
          <w:tcPr>
            <w:tcW w:w="0" w:type="auto"/>
          </w:tcPr>
          <w:p w:rsidR="00DF2181" w:rsidRPr="00DF2181" w:rsidRDefault="00DF2181" w:rsidP="00DF2181">
            <w:pPr>
              <w:rPr>
                <w:sz w:val="20"/>
                <w:szCs w:val="20"/>
              </w:rPr>
            </w:pPr>
            <w:r w:rsidRPr="00DF2181">
              <w:rPr>
                <w:sz w:val="20"/>
                <w:szCs w:val="20"/>
              </w:rPr>
              <w:t xml:space="preserve">To enable </w:t>
            </w:r>
            <w:r w:rsidR="00981D5B">
              <w:rPr>
                <w:sz w:val="20"/>
                <w:szCs w:val="20"/>
              </w:rPr>
              <w:t xml:space="preserve">Stafford </w:t>
            </w:r>
            <w:proofErr w:type="gramStart"/>
            <w:r w:rsidR="00981D5B">
              <w:rPr>
                <w:sz w:val="20"/>
                <w:szCs w:val="20"/>
              </w:rPr>
              <w:t xml:space="preserve">Fuels </w:t>
            </w:r>
            <w:r w:rsidRPr="00DF2181">
              <w:rPr>
                <w:sz w:val="20"/>
                <w:szCs w:val="20"/>
              </w:rPr>
              <w:t xml:space="preserve"> pension</w:t>
            </w:r>
            <w:proofErr w:type="gramEnd"/>
            <w:r w:rsidRPr="00DF2181">
              <w:rPr>
                <w:sz w:val="20"/>
                <w:szCs w:val="20"/>
              </w:rPr>
              <w:t xml:space="preserve"> trustees and related service providers to administer your pension entitlements. </w:t>
            </w:r>
          </w:p>
          <w:p w:rsidR="00DF2181" w:rsidRPr="00DF2181" w:rsidRDefault="00DF2181" w:rsidP="00DF2181">
            <w:pPr>
              <w:rPr>
                <w:sz w:val="20"/>
                <w:szCs w:val="20"/>
              </w:rPr>
            </w:pPr>
          </w:p>
        </w:tc>
        <w:tc>
          <w:tcPr>
            <w:tcW w:w="0" w:type="auto"/>
          </w:tcPr>
          <w:p w:rsidR="00DF2181" w:rsidRPr="00DF2181" w:rsidRDefault="00DF2181" w:rsidP="00DF2181">
            <w:pPr>
              <w:rPr>
                <w:sz w:val="20"/>
                <w:szCs w:val="20"/>
              </w:rPr>
            </w:pPr>
            <w:r w:rsidRPr="00DF2181">
              <w:rPr>
                <w:sz w:val="20"/>
                <w:szCs w:val="20"/>
              </w:rPr>
              <w:t>Contract performance (Art 6(1)(b)).</w:t>
            </w:r>
          </w:p>
          <w:p w:rsidR="00DF2181" w:rsidRPr="00DF2181" w:rsidRDefault="00DF2181" w:rsidP="00DF2181">
            <w:pPr>
              <w:rPr>
                <w:sz w:val="20"/>
                <w:szCs w:val="20"/>
              </w:rPr>
            </w:pPr>
          </w:p>
        </w:tc>
      </w:tr>
      <w:tr w:rsidR="00DF2181" w:rsidRPr="00DF2181" w:rsidTr="00DF2181">
        <w:tc>
          <w:tcPr>
            <w:tcW w:w="0" w:type="auto"/>
          </w:tcPr>
          <w:p w:rsidR="00DF2181" w:rsidRPr="00DF2181" w:rsidRDefault="00DF2181" w:rsidP="00DF2181">
            <w:pPr>
              <w:rPr>
                <w:sz w:val="20"/>
                <w:szCs w:val="20"/>
              </w:rPr>
            </w:pPr>
            <w:r w:rsidRPr="00DF2181">
              <w:rPr>
                <w:sz w:val="20"/>
                <w:szCs w:val="20"/>
              </w:rPr>
              <w:t>Medical information (</w:t>
            </w:r>
            <w:r w:rsidRPr="00DF2181">
              <w:rPr>
                <w:i/>
                <w:sz w:val="20"/>
                <w:szCs w:val="20"/>
              </w:rPr>
              <w:t>including medical certificate and sick notes).</w:t>
            </w:r>
          </w:p>
          <w:p w:rsidR="00DF2181" w:rsidRPr="00DF2181" w:rsidRDefault="00DF2181" w:rsidP="00DF2181">
            <w:pPr>
              <w:rPr>
                <w:sz w:val="20"/>
                <w:szCs w:val="20"/>
              </w:rPr>
            </w:pPr>
            <w:r w:rsidRPr="00DF2181">
              <w:rPr>
                <w:sz w:val="20"/>
                <w:szCs w:val="20"/>
              </w:rPr>
              <w:t xml:space="preserve"> </w:t>
            </w:r>
          </w:p>
        </w:tc>
        <w:tc>
          <w:tcPr>
            <w:tcW w:w="0" w:type="auto"/>
          </w:tcPr>
          <w:p w:rsidR="00DF2181" w:rsidRPr="00DF2181" w:rsidRDefault="00DF2181" w:rsidP="00DF2181">
            <w:pPr>
              <w:rPr>
                <w:sz w:val="20"/>
                <w:szCs w:val="20"/>
              </w:rPr>
            </w:pPr>
            <w:r w:rsidRPr="00DF2181">
              <w:rPr>
                <w:sz w:val="20"/>
                <w:szCs w:val="20"/>
              </w:rPr>
              <w:t>Personnel administration and to verify employee absences from work on sick leave and purposes of preventative or occupational medicine.</w:t>
            </w:r>
          </w:p>
          <w:p w:rsidR="00DF2181" w:rsidRPr="00DF2181" w:rsidRDefault="00DF2181" w:rsidP="00DF2181">
            <w:pPr>
              <w:rPr>
                <w:sz w:val="20"/>
                <w:szCs w:val="20"/>
              </w:rPr>
            </w:pPr>
            <w:r w:rsidRPr="00DF2181">
              <w:rPr>
                <w:sz w:val="20"/>
                <w:szCs w:val="20"/>
              </w:rPr>
              <w:t xml:space="preserve"> </w:t>
            </w:r>
          </w:p>
        </w:tc>
        <w:tc>
          <w:tcPr>
            <w:tcW w:w="0" w:type="auto"/>
          </w:tcPr>
          <w:p w:rsidR="00DF2181" w:rsidRPr="00DF2181" w:rsidRDefault="00DF2181" w:rsidP="00DF2181">
            <w:pPr>
              <w:rPr>
                <w:sz w:val="20"/>
                <w:szCs w:val="20"/>
              </w:rPr>
            </w:pPr>
            <w:r w:rsidRPr="00DF2181">
              <w:rPr>
                <w:sz w:val="20"/>
                <w:szCs w:val="20"/>
              </w:rPr>
              <w:t xml:space="preserve">To assess the working capacity of an employee under the Data Protection Act 2018. </w:t>
            </w:r>
          </w:p>
        </w:tc>
      </w:tr>
      <w:tr w:rsidR="00DF2181" w:rsidRPr="00DF2181" w:rsidTr="00DF2181">
        <w:trPr>
          <w:trHeight w:val="64"/>
        </w:trPr>
        <w:tc>
          <w:tcPr>
            <w:tcW w:w="0" w:type="auto"/>
          </w:tcPr>
          <w:p w:rsidR="00DF2181" w:rsidRPr="00DF2181" w:rsidRDefault="00DF2181" w:rsidP="00DF2181">
            <w:pPr>
              <w:rPr>
                <w:sz w:val="20"/>
                <w:szCs w:val="20"/>
              </w:rPr>
            </w:pPr>
            <w:r w:rsidRPr="00DF2181">
              <w:rPr>
                <w:sz w:val="20"/>
                <w:szCs w:val="20"/>
              </w:rPr>
              <w:t xml:space="preserve">CCTV Footage </w:t>
            </w:r>
          </w:p>
        </w:tc>
        <w:tc>
          <w:tcPr>
            <w:tcW w:w="0" w:type="auto"/>
          </w:tcPr>
          <w:p w:rsidR="00DF2181" w:rsidRPr="00DF2181" w:rsidRDefault="00981D5B" w:rsidP="00DF2181">
            <w:pPr>
              <w:rPr>
                <w:sz w:val="20"/>
                <w:szCs w:val="20"/>
              </w:rPr>
            </w:pPr>
            <w:r>
              <w:rPr>
                <w:sz w:val="20"/>
                <w:szCs w:val="20"/>
              </w:rPr>
              <w:t xml:space="preserve">Stafford </w:t>
            </w:r>
            <w:proofErr w:type="gramStart"/>
            <w:r>
              <w:rPr>
                <w:sz w:val="20"/>
                <w:szCs w:val="20"/>
              </w:rPr>
              <w:t xml:space="preserve">Fuels </w:t>
            </w:r>
            <w:r w:rsidR="00DF2181" w:rsidRPr="00DF2181">
              <w:rPr>
                <w:sz w:val="20"/>
                <w:szCs w:val="20"/>
              </w:rPr>
              <w:t xml:space="preserve"> has</w:t>
            </w:r>
            <w:proofErr w:type="gramEnd"/>
            <w:r w:rsidR="00DF2181" w:rsidRPr="00DF2181">
              <w:rPr>
                <w:sz w:val="20"/>
                <w:szCs w:val="20"/>
              </w:rPr>
              <w:t xml:space="preserve"> closed circuit television cameras (“</w:t>
            </w:r>
            <w:r w:rsidR="00DF2181" w:rsidRPr="00DF2181">
              <w:rPr>
                <w:b/>
                <w:sz w:val="20"/>
                <w:szCs w:val="20"/>
              </w:rPr>
              <w:t>CCTV</w:t>
            </w:r>
            <w:r w:rsidR="00DF2181" w:rsidRPr="00DF2181">
              <w:rPr>
                <w:sz w:val="20"/>
                <w:szCs w:val="20"/>
              </w:rPr>
              <w:t xml:space="preserve">”) located throughout its premises covering buildings, internal spaces, car parks, roads, pathways and grounds. </w:t>
            </w:r>
            <w:r>
              <w:rPr>
                <w:sz w:val="20"/>
                <w:szCs w:val="20"/>
              </w:rPr>
              <w:t xml:space="preserve">Stafford </w:t>
            </w:r>
            <w:proofErr w:type="gramStart"/>
            <w:r>
              <w:rPr>
                <w:sz w:val="20"/>
                <w:szCs w:val="20"/>
              </w:rPr>
              <w:t xml:space="preserve">Fuels </w:t>
            </w:r>
            <w:r w:rsidR="00DF2181" w:rsidRPr="00DF2181">
              <w:rPr>
                <w:sz w:val="20"/>
                <w:szCs w:val="20"/>
              </w:rPr>
              <w:t>’s</w:t>
            </w:r>
            <w:proofErr w:type="gramEnd"/>
            <w:r w:rsidR="00DF2181" w:rsidRPr="00DF2181">
              <w:rPr>
                <w:sz w:val="20"/>
                <w:szCs w:val="20"/>
              </w:rPr>
              <w:t xml:space="preserve"> CCTV system is implemented in a proportionate manner as necessary to protect </w:t>
            </w:r>
            <w:r>
              <w:rPr>
                <w:sz w:val="20"/>
                <w:szCs w:val="20"/>
              </w:rPr>
              <w:t xml:space="preserve">Stafford Fuels </w:t>
            </w:r>
            <w:r w:rsidR="00DF2181" w:rsidRPr="00DF2181">
              <w:rPr>
                <w:sz w:val="20"/>
                <w:szCs w:val="20"/>
              </w:rPr>
              <w:t xml:space="preserve"> property against theft or pilferage and for the security of staff and visitors to the </w:t>
            </w:r>
            <w:r>
              <w:rPr>
                <w:sz w:val="20"/>
                <w:szCs w:val="20"/>
              </w:rPr>
              <w:t xml:space="preserve">Stafford Fuels </w:t>
            </w:r>
            <w:r w:rsidR="00DF2181" w:rsidRPr="00DF2181">
              <w:rPr>
                <w:sz w:val="20"/>
                <w:szCs w:val="20"/>
              </w:rPr>
              <w:t xml:space="preserve"> premises (to protect their vital interests).</w:t>
            </w:r>
          </w:p>
          <w:p w:rsidR="00DF2181" w:rsidRPr="00DF2181" w:rsidRDefault="00DF2181" w:rsidP="00DF2181">
            <w:pPr>
              <w:rPr>
                <w:sz w:val="20"/>
                <w:szCs w:val="20"/>
              </w:rPr>
            </w:pPr>
          </w:p>
          <w:p w:rsidR="00DF2181" w:rsidRPr="00DF2181" w:rsidRDefault="00DF2181" w:rsidP="00DF2181">
            <w:pPr>
              <w:adjustRightInd/>
              <w:jc w:val="left"/>
              <w:rPr>
                <w:sz w:val="20"/>
                <w:szCs w:val="20"/>
              </w:rPr>
            </w:pPr>
          </w:p>
        </w:tc>
        <w:tc>
          <w:tcPr>
            <w:tcW w:w="0" w:type="auto"/>
          </w:tcPr>
          <w:p w:rsidR="00DF2181" w:rsidRPr="00DF2181" w:rsidRDefault="00DF2181" w:rsidP="00DF2181">
            <w:pPr>
              <w:rPr>
                <w:sz w:val="20"/>
                <w:szCs w:val="20"/>
              </w:rPr>
            </w:pPr>
            <w:r w:rsidRPr="00DF2181">
              <w:rPr>
                <w:sz w:val="20"/>
                <w:szCs w:val="20"/>
              </w:rPr>
              <w:t>Protecting the vital interests of employees and other persons (Art 6(1)(d)).</w:t>
            </w:r>
          </w:p>
          <w:p w:rsidR="00DF2181" w:rsidRPr="00DF2181" w:rsidRDefault="00DF2181" w:rsidP="00DF2181">
            <w:pPr>
              <w:rPr>
                <w:sz w:val="20"/>
                <w:szCs w:val="20"/>
              </w:rPr>
            </w:pPr>
          </w:p>
        </w:tc>
      </w:tr>
    </w:tbl>
    <w:p w:rsidR="00DF2181" w:rsidRPr="00DF2181" w:rsidRDefault="00DF2181" w:rsidP="00DF2181"/>
    <w:sectPr w:rsidR="00DF2181" w:rsidRPr="00DF2181" w:rsidSect="00F97D2F">
      <w:headerReference w:type="default" r:id="rId9"/>
      <w:pgSz w:w="11907" w:h="1683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03" w:rsidRPr="00DA534D" w:rsidRDefault="00BF6103" w:rsidP="00DA534D">
      <w:r w:rsidRPr="00DA534D">
        <w:separator/>
      </w:r>
    </w:p>
  </w:endnote>
  <w:endnote w:type="continuationSeparator" w:id="0">
    <w:p w:rsidR="00BF6103" w:rsidRPr="00DA534D" w:rsidRDefault="00BF6103" w:rsidP="00DA534D">
      <w:r w:rsidRPr="00DA53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03" w:rsidRPr="00DA534D" w:rsidRDefault="00BF6103" w:rsidP="00DA534D">
      <w:r w:rsidRPr="00DA534D">
        <w:separator/>
      </w:r>
    </w:p>
  </w:footnote>
  <w:footnote w:type="continuationSeparator" w:id="0">
    <w:p w:rsidR="00BF6103" w:rsidRPr="00DA534D" w:rsidRDefault="00BF6103" w:rsidP="00DA534D">
      <w:r w:rsidRPr="00DA534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D8" w:rsidRDefault="00765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DECF0"/>
    <w:multiLevelType w:val="multilevel"/>
    <w:tmpl w:val="CC0ABC84"/>
    <w:lvl w:ilvl="0">
      <w:start w:val="1"/>
      <w:numFmt w:val="bullet"/>
      <w:lvlText w:val=""/>
      <w:lvlJc w:val="left"/>
      <w:pPr>
        <w:tabs>
          <w:tab w:val="num" w:pos="720"/>
        </w:tabs>
        <w:ind w:left="72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1">
      <w:start w:val="1"/>
      <w:numFmt w:val="bullet"/>
      <w:lvlText w:val=""/>
      <w:lvlJc w:val="left"/>
      <w:pPr>
        <w:tabs>
          <w:tab w:val="num" w:pos="1440"/>
        </w:tabs>
        <w:ind w:left="144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2">
      <w:start w:val="1"/>
      <w:numFmt w:val="bullet"/>
      <w:lvlText w:val=""/>
      <w:lvlJc w:val="left"/>
      <w:pPr>
        <w:tabs>
          <w:tab w:val="num" w:pos="2160"/>
        </w:tabs>
        <w:ind w:left="216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3">
      <w:start w:val="1"/>
      <w:numFmt w:val="bullet"/>
      <w:lvlText w:val=""/>
      <w:lvlJc w:val="left"/>
      <w:pPr>
        <w:tabs>
          <w:tab w:val="num" w:pos="2880"/>
        </w:tabs>
        <w:ind w:left="288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4">
      <w:start w:val="1"/>
      <w:numFmt w:val="bullet"/>
      <w:lvlText w:val=""/>
      <w:lvlJc w:val="left"/>
      <w:pPr>
        <w:tabs>
          <w:tab w:val="num" w:pos="3600"/>
        </w:tabs>
        <w:ind w:left="360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E759C584"/>
    <w:multiLevelType w:val="multilevel"/>
    <w:tmpl w:val="6CBE1C69"/>
    <w:lvl w:ilvl="0">
      <w:start w:val="1"/>
      <w:numFmt w:val="decimal"/>
      <w:lvlText w:val="%1."/>
      <w:lvlJc w:val="left"/>
      <w:pPr>
        <w:tabs>
          <w:tab w:val="num" w:pos="720"/>
        </w:tabs>
        <w:ind w:left="72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1">
      <w:start w:val="1"/>
      <w:numFmt w:val="decimal"/>
      <w:isLgl/>
      <w:lvlText w:val="%1.%2"/>
      <w:lvlJc w:val="left"/>
      <w:pPr>
        <w:tabs>
          <w:tab w:val="num" w:pos="1440"/>
        </w:tabs>
        <w:ind w:left="1440" w:hanging="720"/>
      </w:pPr>
      <w:rPr>
        <w:b w:val="0"/>
        <w:i w:val="0"/>
        <w:caps w:val="0"/>
        <w:smallCaps w:val="0"/>
        <w:strike w:val="0"/>
        <w:dstrike w:val="0"/>
        <w:outline w:val="0"/>
        <w:shadow w:val="0"/>
        <w:emboss w:val="0"/>
        <w:imprint w:val="0"/>
        <w:vanish w:val="0"/>
        <w:sz w:val="22"/>
        <w:u w:val="none"/>
        <w:effect w:val="none"/>
        <w:vertAlign w:val="base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12832536"/>
    <w:multiLevelType w:val="multilevel"/>
    <w:tmpl w:val="D46EDF64"/>
    <w:lvl w:ilvl="0">
      <w:start w:val="1"/>
      <w:numFmt w:val="decimal"/>
      <w:pStyle w:val="AC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C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AC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
    <w:nsid w:val="222F12C2"/>
    <w:multiLevelType w:val="hybridMultilevel"/>
    <w:tmpl w:val="3EE8D4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outline w:val="0"/>
        <w:shadow w:val="0"/>
        <w:emboss w:val="0"/>
        <w:imprint w:val="0"/>
        <w:vanish w:val="0"/>
        <w:sz w:val="22"/>
        <w:u w:val="none"/>
        <w:effect w:val="none"/>
        <w:vertAlign w:val="baseline"/>
      </w:rPr>
    </w:lvl>
    <w:lvl w:ilvl="1">
      <w:start w:val="1"/>
      <w:numFmt w:val="lowerLetter"/>
      <w:pStyle w:val="ACSchLv2"/>
      <w:lvlText w:val="(%2)"/>
      <w:lvlJc w:val="left"/>
      <w:pPr>
        <w:tabs>
          <w:tab w:val="num" w:pos="1440"/>
        </w:tabs>
        <w:ind w:left="1440" w:hanging="720"/>
      </w:pPr>
      <w:rPr>
        <w:b w:val="0"/>
        <w:i w:val="0"/>
        <w:caps w:val="0"/>
        <w:smallCaps w:val="0"/>
        <w:strike w:val="0"/>
        <w:dstrike w:val="0"/>
        <w:outline w:val="0"/>
        <w:shadow w:val="0"/>
        <w:emboss w:val="0"/>
        <w:imprint w:val="0"/>
        <w:vanish w:val="0"/>
        <w:sz w:val="22"/>
        <w:u w:val="none"/>
        <w:effect w:val="none"/>
        <w:vertAlign w:val="baseline"/>
      </w:rPr>
    </w:lvl>
    <w:lvl w:ilvl="2">
      <w:start w:val="1"/>
      <w:numFmt w:val="lowerRoman"/>
      <w:pStyle w:val="ACSchLv3"/>
      <w:lvlText w:val="(%3)"/>
      <w:lvlJc w:val="left"/>
      <w:pPr>
        <w:tabs>
          <w:tab w:val="num" w:pos="2160"/>
        </w:tabs>
        <w:ind w:left="2160" w:hanging="720"/>
      </w:pPr>
      <w:rPr>
        <w:b w:val="0"/>
        <w:i w:val="0"/>
        <w:caps w:val="0"/>
        <w:smallCaps w:val="0"/>
        <w:strike w:val="0"/>
        <w:dstrike w:val="0"/>
        <w:outline w:val="0"/>
        <w:shadow w:val="0"/>
        <w:emboss w:val="0"/>
        <w:imprint w:val="0"/>
        <w:vanish w:val="0"/>
        <w:sz w:val="22"/>
        <w:u w:val="none"/>
        <w:effect w:val="none"/>
        <w:vertAlign w:val="baseline"/>
      </w:rPr>
    </w:lvl>
    <w:lvl w:ilvl="3">
      <w:start w:val="1"/>
      <w:numFmt w:val="upperLetter"/>
      <w:pStyle w:val="ACSchLv4"/>
      <w:lvlText w:val="(%4)"/>
      <w:lvlJc w:val="left"/>
      <w:pPr>
        <w:tabs>
          <w:tab w:val="num" w:pos="2880"/>
        </w:tabs>
        <w:ind w:left="2880" w:hanging="720"/>
      </w:pPr>
      <w:rPr>
        <w:b w:val="0"/>
        <w:i w:val="0"/>
        <w:caps w:val="0"/>
        <w:smallCaps w:val="0"/>
        <w:strike w:val="0"/>
        <w:dstrike w:val="0"/>
        <w:outline w:val="0"/>
        <w:shadow w:val="0"/>
        <w:emboss w:val="0"/>
        <w:imprint w:val="0"/>
        <w:vanish w:val="0"/>
        <w:sz w:val="22"/>
        <w:u w:val="none"/>
        <w:effect w:val="none"/>
        <w:vertAlign w:val="baseline"/>
      </w:rPr>
    </w:lvl>
    <w:lvl w:ilvl="4">
      <w:start w:val="1"/>
      <w:numFmt w:val="upperRoman"/>
      <w:pStyle w:val="ACSchLv5"/>
      <w:lvlText w:val="(%5)"/>
      <w:lvlJc w:val="left"/>
      <w:pPr>
        <w:tabs>
          <w:tab w:val="num" w:pos="3600"/>
        </w:tabs>
        <w:ind w:left="3600" w:hanging="720"/>
      </w:pPr>
      <w:rPr>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5">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6">
    <w:nsid w:val="6C181BEC"/>
    <w:multiLevelType w:val="multilevel"/>
    <w:tmpl w:val="BBCCFE5A"/>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1">
      <w:start w:val="1"/>
      <w:numFmt w:val="decimal"/>
      <w:pStyle w:val="ACLevel2"/>
      <w:isLgl/>
      <w:lvlText w:val="%1.%2"/>
      <w:lvlJc w:val="left"/>
      <w:pPr>
        <w:tabs>
          <w:tab w:val="num" w:pos="1440"/>
        </w:tabs>
        <w:ind w:left="1440" w:hanging="720"/>
      </w:pPr>
      <w:rPr>
        <w:b w:val="0"/>
        <w:i w:val="0"/>
        <w:caps w:val="0"/>
        <w:smallCaps w:val="0"/>
        <w:strike w:val="0"/>
        <w:dstrike w:val="0"/>
        <w:outline w:val="0"/>
        <w:shadow w:val="0"/>
        <w:emboss w:val="0"/>
        <w:imprint w:val="0"/>
        <w:vanish w:val="0"/>
        <w:sz w:val="22"/>
        <w:u w:val="none"/>
        <w:effect w:val="none"/>
        <w:vertAlign w:val="baseline"/>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7">
    <w:nsid w:val="6ED8F2C3"/>
    <w:multiLevelType w:val="multilevel"/>
    <w:tmpl w:val="0E6300AD"/>
    <w:lvl w:ilvl="0">
      <w:start w:val="1"/>
      <w:numFmt w:val="none"/>
      <w:pStyle w:val="AC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num w:numId="1">
    <w:abstractNumId w:val="6"/>
  </w:num>
  <w:num w:numId="2">
    <w:abstractNumId w:val="6"/>
  </w:num>
  <w:num w:numId="3">
    <w:abstractNumId w:val="6"/>
  </w:num>
  <w:num w:numId="4">
    <w:abstractNumId w:val="6"/>
  </w:num>
  <w:num w:numId="5">
    <w:abstractNumId w:val="6"/>
  </w:num>
  <w:num w:numId="6">
    <w:abstractNumId w:val="4"/>
  </w:num>
  <w:num w:numId="7">
    <w:abstractNumId w:val="4"/>
  </w:num>
  <w:num w:numId="8">
    <w:abstractNumId w:val="4"/>
  </w:num>
  <w:num w:numId="9">
    <w:abstractNumId w:val="4"/>
  </w:num>
  <w:num w:numId="10">
    <w:abstractNumId w:val="4"/>
  </w:num>
  <w:num w:numId="11">
    <w:abstractNumId w:val="5"/>
  </w:num>
  <w:num w:numId="12">
    <w:abstractNumId w:val="5"/>
  </w:num>
  <w:num w:numId="13">
    <w:abstractNumId w:val="5"/>
  </w:num>
  <w:num w:numId="14">
    <w:abstractNumId w:val="5"/>
  </w:num>
  <w:num w:numId="15">
    <w:abstractNumId w:val="5"/>
  </w:num>
  <w:num w:numId="16">
    <w:abstractNumId w:val="2"/>
  </w:num>
  <w:num w:numId="17">
    <w:abstractNumId w:val="2"/>
  </w:num>
  <w:num w:numId="18">
    <w:abstractNumId w:val="2"/>
  </w:num>
  <w:num w:numId="19">
    <w:abstractNumId w:val="7"/>
  </w:num>
  <w:num w:numId="20">
    <w:abstractNumId w:val="1"/>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 Bullet Lv _Body" w:val="AC Body "/>
    <w:docVar w:name="AC Bullet Lv _Comment" w:val="Standard bullets"/>
    <w:docVar w:name="AC Bullet Lv _HeadSuf" w:val=" as heading (text)"/>
    <w:docVar w:name="AC Bullet Lv _LongName" w:val="AC Bullets"/>
    <w:docVar w:name="AC Bullet Lv _NumBodies" w:val="5"/>
    <w:docVar w:name="AC Level _Body" w:val="AC Body "/>
    <w:docVar w:name="AC Level _Comment" w:val="Styles and auto-numbering for use in main clauses in Arthur Cox documents."/>
    <w:docVar w:name="AC Level _HeadSuf" w:val=" as heading (text)"/>
    <w:docVar w:name="AC Level _LongName" w:val="AC House Style"/>
    <w:docVar w:name="AC Level _NumBodies" w:val="5"/>
    <w:docVar w:name="AC Level HCR1" w:val="0"/>
    <w:docVar w:name="AC Level HCR2" w:val="0"/>
    <w:docVar w:name="AC Level HCR3" w:val="0"/>
    <w:docVar w:name="AC Level HKWN1" w:val="-1"/>
    <w:docVar w:name="AC Level HKWN2" w:val="-1"/>
    <w:docVar w:name="AC Level HKWN3" w:val="-1"/>
    <w:docVar w:name="AC Sch Lv _Body" w:val="AC Body "/>
    <w:docVar w:name="AC Sch Lv _Comment" w:val="Styles and auto-numbering for use in schedules in Arthur Cox documents."/>
    <w:docVar w:name="AC Sch Lv _HeadSuf" w:val=" as heading (text)"/>
    <w:docVar w:name="AC Sch Lv _LongName" w:val="AC House Style (Schedules)"/>
    <w:docVar w:name="AC Sch Lv _NumBodies" w:val="5"/>
    <w:docVar w:name="AC Sch Lv HCR1" w:val="0"/>
    <w:docVar w:name="AC Sch Lv HCR2" w:val="0"/>
    <w:docVar w:name="AC Sch Lv HCR3" w:val="0"/>
    <w:docVar w:name="AC Sch Lv HKWN1" w:val="-1"/>
    <w:docVar w:name="AC Sch Lv HKWN2" w:val="-1"/>
    <w:docVar w:name="AC Sch Lv HKWN3" w:val="-1"/>
    <w:docVar w:name="ACX_Brand" w:val="1"/>
  </w:docVars>
  <w:rsids>
    <w:rsidRoot w:val="00DA534D"/>
    <w:rsid w:val="000C5319"/>
    <w:rsid w:val="00121431"/>
    <w:rsid w:val="0019569E"/>
    <w:rsid w:val="002207AB"/>
    <w:rsid w:val="002324F3"/>
    <w:rsid w:val="00322B56"/>
    <w:rsid w:val="003B7ED8"/>
    <w:rsid w:val="004A7C69"/>
    <w:rsid w:val="005B3BA6"/>
    <w:rsid w:val="005B4120"/>
    <w:rsid w:val="006A5AC3"/>
    <w:rsid w:val="00765FD8"/>
    <w:rsid w:val="00785BE2"/>
    <w:rsid w:val="007F5AD4"/>
    <w:rsid w:val="00805EB9"/>
    <w:rsid w:val="00854D77"/>
    <w:rsid w:val="008D51D1"/>
    <w:rsid w:val="008E693D"/>
    <w:rsid w:val="00981D5B"/>
    <w:rsid w:val="009D2B1F"/>
    <w:rsid w:val="00A87EFD"/>
    <w:rsid w:val="00AB1910"/>
    <w:rsid w:val="00AD19A3"/>
    <w:rsid w:val="00AD7FF3"/>
    <w:rsid w:val="00AE1C35"/>
    <w:rsid w:val="00B004DB"/>
    <w:rsid w:val="00B607BA"/>
    <w:rsid w:val="00B75E9E"/>
    <w:rsid w:val="00BF6103"/>
    <w:rsid w:val="00C1022A"/>
    <w:rsid w:val="00CD197A"/>
    <w:rsid w:val="00D01E41"/>
    <w:rsid w:val="00D20CD9"/>
    <w:rsid w:val="00D24BA4"/>
    <w:rsid w:val="00D55535"/>
    <w:rsid w:val="00DA534D"/>
    <w:rsid w:val="00DF2181"/>
    <w:rsid w:val="00E2074A"/>
    <w:rsid w:val="00E454CC"/>
    <w:rsid w:val="00F3296D"/>
    <w:rsid w:val="00F97D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Bidi" w:eastAsia="Times New Roman" w:hAnsiTheme="minorBid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D2F"/>
    <w:pPr>
      <w:adjustRightInd w:val="0"/>
      <w:spacing w:after="0" w:line="240" w:lineRule="auto"/>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7D2F"/>
    <w:pPr>
      <w:tabs>
        <w:tab w:val="center" w:pos="4160"/>
        <w:tab w:val="right" w:pos="8300"/>
      </w:tabs>
    </w:pPr>
  </w:style>
  <w:style w:type="character" w:customStyle="1" w:styleId="HeaderChar">
    <w:name w:val="Header Char"/>
    <w:basedOn w:val="DefaultParagraphFont"/>
    <w:link w:val="Header"/>
    <w:uiPriority w:val="99"/>
    <w:rsid w:val="00F97D2F"/>
    <w:rPr>
      <w:rFonts w:ascii="Times New Roman" w:hAnsi="Times New Roman" w:cs="Times New Roman"/>
    </w:rPr>
  </w:style>
  <w:style w:type="paragraph" w:styleId="Footer">
    <w:name w:val="footer"/>
    <w:basedOn w:val="Normal"/>
    <w:link w:val="FooterChar"/>
    <w:uiPriority w:val="99"/>
    <w:rsid w:val="00F97D2F"/>
    <w:pPr>
      <w:tabs>
        <w:tab w:val="center" w:pos="4160"/>
        <w:tab w:val="right" w:pos="8300"/>
      </w:tabs>
    </w:pPr>
  </w:style>
  <w:style w:type="character" w:customStyle="1" w:styleId="FooterChar">
    <w:name w:val="Footer Char"/>
    <w:basedOn w:val="DefaultParagraphFont"/>
    <w:link w:val="Footer"/>
    <w:uiPriority w:val="99"/>
    <w:rsid w:val="00F97D2F"/>
    <w:rPr>
      <w:rFonts w:ascii="Times New Roman" w:hAnsi="Times New Roman" w:cs="Times New Roman"/>
    </w:rPr>
  </w:style>
  <w:style w:type="paragraph" w:customStyle="1" w:styleId="Body">
    <w:name w:val="Body"/>
    <w:basedOn w:val="Normal"/>
    <w:uiPriority w:val="99"/>
    <w:rsid w:val="00F97D2F"/>
    <w:pPr>
      <w:spacing w:after="220"/>
    </w:pPr>
  </w:style>
  <w:style w:type="paragraph" w:customStyle="1" w:styleId="ACBody1">
    <w:name w:val="AC Body 1"/>
    <w:basedOn w:val="Body"/>
    <w:uiPriority w:val="99"/>
    <w:rsid w:val="00F97D2F"/>
    <w:pPr>
      <w:ind w:left="720"/>
    </w:pPr>
  </w:style>
  <w:style w:type="paragraph" w:customStyle="1" w:styleId="ACLevel1">
    <w:name w:val="AC Level 1"/>
    <w:basedOn w:val="ACBody1"/>
    <w:uiPriority w:val="99"/>
    <w:rsid w:val="00F97D2F"/>
    <w:pPr>
      <w:numPr>
        <w:numId w:val="5"/>
      </w:numPr>
      <w:outlineLvl w:val="0"/>
    </w:pPr>
  </w:style>
  <w:style w:type="character" w:customStyle="1" w:styleId="ACLevel1asheadingtext">
    <w:name w:val="AC Level 1 as heading (text)"/>
    <w:basedOn w:val="DefaultParagraphFont"/>
    <w:uiPriority w:val="99"/>
    <w:rsid w:val="00F97D2F"/>
    <w:rPr>
      <w:b/>
      <w:bCs/>
    </w:rPr>
  </w:style>
  <w:style w:type="paragraph" w:customStyle="1" w:styleId="ACBody2">
    <w:name w:val="AC Body 2"/>
    <w:basedOn w:val="Body"/>
    <w:uiPriority w:val="99"/>
    <w:rsid w:val="00F97D2F"/>
    <w:pPr>
      <w:ind w:left="1440"/>
    </w:pPr>
  </w:style>
  <w:style w:type="paragraph" w:customStyle="1" w:styleId="ACLevel2">
    <w:name w:val="AC Level 2"/>
    <w:basedOn w:val="ACBody2"/>
    <w:uiPriority w:val="99"/>
    <w:rsid w:val="00F97D2F"/>
    <w:pPr>
      <w:numPr>
        <w:ilvl w:val="1"/>
        <w:numId w:val="5"/>
      </w:numPr>
      <w:outlineLvl w:val="1"/>
    </w:pPr>
  </w:style>
  <w:style w:type="character" w:customStyle="1" w:styleId="ACLevel2asheadingtext">
    <w:name w:val="AC Level 2 as heading (text)"/>
    <w:basedOn w:val="DefaultParagraphFont"/>
    <w:uiPriority w:val="99"/>
    <w:rsid w:val="00F97D2F"/>
    <w:rPr>
      <w:b/>
      <w:bCs/>
    </w:rPr>
  </w:style>
  <w:style w:type="paragraph" w:customStyle="1" w:styleId="ACBody3">
    <w:name w:val="AC Body 3"/>
    <w:basedOn w:val="Body"/>
    <w:uiPriority w:val="99"/>
    <w:rsid w:val="00F97D2F"/>
    <w:pPr>
      <w:ind w:left="2160"/>
    </w:pPr>
  </w:style>
  <w:style w:type="paragraph" w:customStyle="1" w:styleId="ACLevel3">
    <w:name w:val="AC Level 3"/>
    <w:basedOn w:val="ACBody3"/>
    <w:uiPriority w:val="99"/>
    <w:rsid w:val="00F97D2F"/>
    <w:pPr>
      <w:numPr>
        <w:ilvl w:val="2"/>
        <w:numId w:val="5"/>
      </w:numPr>
      <w:outlineLvl w:val="2"/>
    </w:pPr>
  </w:style>
  <w:style w:type="character" w:customStyle="1" w:styleId="ACLevel3asheadingtext">
    <w:name w:val="AC Level 3 as heading (text)"/>
    <w:basedOn w:val="DefaultParagraphFont"/>
    <w:uiPriority w:val="99"/>
    <w:rsid w:val="00F97D2F"/>
    <w:rPr>
      <w:b/>
      <w:bCs/>
    </w:rPr>
  </w:style>
  <w:style w:type="paragraph" w:customStyle="1" w:styleId="ACBody4">
    <w:name w:val="AC Body 4"/>
    <w:basedOn w:val="Body"/>
    <w:uiPriority w:val="99"/>
    <w:rsid w:val="00F97D2F"/>
    <w:pPr>
      <w:ind w:left="2880"/>
    </w:pPr>
  </w:style>
  <w:style w:type="paragraph" w:customStyle="1" w:styleId="ACLevel4">
    <w:name w:val="AC Level 4"/>
    <w:basedOn w:val="ACBody4"/>
    <w:uiPriority w:val="99"/>
    <w:rsid w:val="00F97D2F"/>
    <w:pPr>
      <w:numPr>
        <w:ilvl w:val="3"/>
        <w:numId w:val="5"/>
      </w:numPr>
      <w:outlineLvl w:val="3"/>
    </w:pPr>
  </w:style>
  <w:style w:type="paragraph" w:customStyle="1" w:styleId="ACBody5">
    <w:name w:val="AC Body 5"/>
    <w:basedOn w:val="Body"/>
    <w:uiPriority w:val="99"/>
    <w:rsid w:val="00F97D2F"/>
    <w:pPr>
      <w:ind w:left="3600"/>
    </w:pPr>
  </w:style>
  <w:style w:type="paragraph" w:customStyle="1" w:styleId="ACLevel5">
    <w:name w:val="AC Level 5"/>
    <w:basedOn w:val="ACBody5"/>
    <w:uiPriority w:val="99"/>
    <w:rsid w:val="00F97D2F"/>
    <w:pPr>
      <w:numPr>
        <w:ilvl w:val="4"/>
        <w:numId w:val="5"/>
      </w:numPr>
      <w:outlineLvl w:val="4"/>
    </w:pPr>
  </w:style>
  <w:style w:type="paragraph" w:customStyle="1" w:styleId="ACSchLv1">
    <w:name w:val="AC Sch Lv 1"/>
    <w:basedOn w:val="ACBody1"/>
    <w:uiPriority w:val="99"/>
    <w:rsid w:val="00F97D2F"/>
    <w:pPr>
      <w:numPr>
        <w:numId w:val="10"/>
      </w:numPr>
      <w:outlineLvl w:val="0"/>
    </w:pPr>
  </w:style>
  <w:style w:type="character" w:customStyle="1" w:styleId="ACSchLv1asheadingtext">
    <w:name w:val="AC Sch Lv 1 as heading (text)"/>
    <w:basedOn w:val="DefaultParagraphFont"/>
    <w:uiPriority w:val="99"/>
    <w:rsid w:val="00F97D2F"/>
    <w:rPr>
      <w:b/>
      <w:bCs/>
    </w:rPr>
  </w:style>
  <w:style w:type="paragraph" w:customStyle="1" w:styleId="ACSchLv2">
    <w:name w:val="AC Sch Lv 2"/>
    <w:basedOn w:val="ACBody2"/>
    <w:uiPriority w:val="99"/>
    <w:rsid w:val="00F97D2F"/>
    <w:pPr>
      <w:numPr>
        <w:ilvl w:val="1"/>
        <w:numId w:val="10"/>
      </w:numPr>
      <w:outlineLvl w:val="1"/>
    </w:pPr>
  </w:style>
  <w:style w:type="character" w:customStyle="1" w:styleId="ACSchLv2asheadingtext">
    <w:name w:val="AC Sch Lv 2 as heading (text)"/>
    <w:basedOn w:val="DefaultParagraphFont"/>
    <w:uiPriority w:val="99"/>
    <w:rsid w:val="00F97D2F"/>
    <w:rPr>
      <w:b/>
      <w:bCs/>
    </w:rPr>
  </w:style>
  <w:style w:type="paragraph" w:customStyle="1" w:styleId="ACSchLv3">
    <w:name w:val="AC Sch Lv 3"/>
    <w:basedOn w:val="ACBody3"/>
    <w:uiPriority w:val="99"/>
    <w:rsid w:val="00F97D2F"/>
    <w:pPr>
      <w:numPr>
        <w:ilvl w:val="2"/>
        <w:numId w:val="10"/>
      </w:numPr>
      <w:outlineLvl w:val="2"/>
    </w:pPr>
  </w:style>
  <w:style w:type="character" w:customStyle="1" w:styleId="ACSchLv3asheadingtext">
    <w:name w:val="AC Sch Lv 3 as heading (text)"/>
    <w:basedOn w:val="DefaultParagraphFont"/>
    <w:uiPriority w:val="99"/>
    <w:rsid w:val="00F97D2F"/>
    <w:rPr>
      <w:b/>
      <w:bCs/>
    </w:rPr>
  </w:style>
  <w:style w:type="paragraph" w:customStyle="1" w:styleId="ACSchLv4">
    <w:name w:val="AC Sch Lv 4"/>
    <w:basedOn w:val="ACBody4"/>
    <w:uiPriority w:val="99"/>
    <w:rsid w:val="00F97D2F"/>
    <w:pPr>
      <w:numPr>
        <w:ilvl w:val="3"/>
        <w:numId w:val="10"/>
      </w:numPr>
      <w:outlineLvl w:val="3"/>
    </w:pPr>
  </w:style>
  <w:style w:type="paragraph" w:customStyle="1" w:styleId="ACSchLv5">
    <w:name w:val="AC Sch Lv 5"/>
    <w:basedOn w:val="ACBody5"/>
    <w:uiPriority w:val="99"/>
    <w:rsid w:val="00F97D2F"/>
    <w:pPr>
      <w:numPr>
        <w:ilvl w:val="4"/>
        <w:numId w:val="10"/>
      </w:numPr>
      <w:outlineLvl w:val="4"/>
    </w:pPr>
  </w:style>
  <w:style w:type="paragraph" w:customStyle="1" w:styleId="ACBulletLv1">
    <w:name w:val="AC Bullet Lv 1"/>
    <w:basedOn w:val="ACBody1"/>
    <w:uiPriority w:val="99"/>
    <w:rsid w:val="00F97D2F"/>
    <w:pPr>
      <w:numPr>
        <w:numId w:val="15"/>
      </w:numPr>
      <w:outlineLvl w:val="0"/>
    </w:pPr>
  </w:style>
  <w:style w:type="paragraph" w:customStyle="1" w:styleId="ACBulletLv2">
    <w:name w:val="AC Bullet Lv 2"/>
    <w:basedOn w:val="ACBody2"/>
    <w:uiPriority w:val="99"/>
    <w:rsid w:val="00F97D2F"/>
    <w:pPr>
      <w:numPr>
        <w:ilvl w:val="1"/>
        <w:numId w:val="15"/>
      </w:numPr>
      <w:outlineLvl w:val="1"/>
    </w:pPr>
  </w:style>
  <w:style w:type="paragraph" w:customStyle="1" w:styleId="ACBulletLv3">
    <w:name w:val="AC Bullet Lv 3"/>
    <w:basedOn w:val="ACBody3"/>
    <w:uiPriority w:val="99"/>
    <w:rsid w:val="00F97D2F"/>
    <w:pPr>
      <w:numPr>
        <w:ilvl w:val="2"/>
        <w:numId w:val="15"/>
      </w:numPr>
      <w:outlineLvl w:val="2"/>
    </w:pPr>
  </w:style>
  <w:style w:type="paragraph" w:customStyle="1" w:styleId="ACBulletLv4">
    <w:name w:val="AC Bullet Lv 4"/>
    <w:basedOn w:val="ACBody4"/>
    <w:uiPriority w:val="99"/>
    <w:rsid w:val="00F97D2F"/>
    <w:pPr>
      <w:numPr>
        <w:ilvl w:val="3"/>
        <w:numId w:val="15"/>
      </w:numPr>
      <w:outlineLvl w:val="3"/>
    </w:pPr>
  </w:style>
  <w:style w:type="paragraph" w:customStyle="1" w:styleId="ACBulletLv5">
    <w:name w:val="AC Bullet Lv 5"/>
    <w:basedOn w:val="ACBody5"/>
    <w:uiPriority w:val="99"/>
    <w:rsid w:val="00F97D2F"/>
    <w:pPr>
      <w:numPr>
        <w:ilvl w:val="4"/>
        <w:numId w:val="15"/>
      </w:numPr>
      <w:outlineLvl w:val="4"/>
    </w:pPr>
  </w:style>
  <w:style w:type="paragraph" w:customStyle="1" w:styleId="ACAppendix">
    <w:name w:val="AC Appendix"/>
    <w:basedOn w:val="Body"/>
    <w:next w:val="ACSubHeading"/>
    <w:uiPriority w:val="99"/>
    <w:rsid w:val="00F97D2F"/>
    <w:pPr>
      <w:keepNext/>
      <w:keepLines/>
      <w:numPr>
        <w:ilvl w:val="1"/>
        <w:numId w:val="18"/>
      </w:numPr>
      <w:jc w:val="center"/>
    </w:pPr>
    <w:rPr>
      <w:b/>
      <w:bCs/>
    </w:rPr>
  </w:style>
  <w:style w:type="paragraph" w:customStyle="1" w:styleId="ACPart">
    <w:name w:val="AC Part"/>
    <w:basedOn w:val="Body"/>
    <w:next w:val="ACSubHeading"/>
    <w:uiPriority w:val="99"/>
    <w:rsid w:val="00F97D2F"/>
    <w:pPr>
      <w:keepNext/>
      <w:keepLines/>
      <w:numPr>
        <w:ilvl w:val="2"/>
        <w:numId w:val="18"/>
      </w:numPr>
      <w:jc w:val="center"/>
    </w:pPr>
  </w:style>
  <w:style w:type="paragraph" w:customStyle="1" w:styleId="ACSchedule">
    <w:name w:val="AC Schedule"/>
    <w:basedOn w:val="Body"/>
    <w:next w:val="ACSubHeading"/>
    <w:uiPriority w:val="99"/>
    <w:rsid w:val="00F97D2F"/>
    <w:pPr>
      <w:keepNext/>
      <w:keepLines/>
      <w:numPr>
        <w:numId w:val="18"/>
      </w:numPr>
      <w:jc w:val="center"/>
    </w:pPr>
    <w:rPr>
      <w:b/>
      <w:bCs/>
    </w:rPr>
  </w:style>
  <w:style w:type="paragraph" w:customStyle="1" w:styleId="ACSubHeading">
    <w:name w:val="AC Sub Heading"/>
    <w:basedOn w:val="Body"/>
    <w:next w:val="Body"/>
    <w:uiPriority w:val="99"/>
    <w:rsid w:val="00F97D2F"/>
    <w:pPr>
      <w:keepNext/>
      <w:keepLines/>
      <w:numPr>
        <w:numId w:val="19"/>
      </w:numPr>
      <w:jc w:val="center"/>
    </w:pPr>
    <w:rPr>
      <w:b/>
      <w:bCs/>
    </w:rPr>
  </w:style>
  <w:style w:type="paragraph" w:styleId="FootnoteText">
    <w:name w:val="footnote text"/>
    <w:aliases w:val="Footnote Text Char1 Char"/>
    <w:basedOn w:val="Normal"/>
    <w:link w:val="FootnoteTextChar"/>
    <w:uiPriority w:val="99"/>
    <w:rsid w:val="00F97D2F"/>
    <w:pPr>
      <w:spacing w:after="100"/>
    </w:pPr>
    <w:rPr>
      <w:sz w:val="20"/>
      <w:szCs w:val="20"/>
    </w:rPr>
  </w:style>
  <w:style w:type="character" w:customStyle="1" w:styleId="FootnoteTextChar">
    <w:name w:val="Footnote Text Char"/>
    <w:aliases w:val="Footnote Text Char1 Char Char"/>
    <w:basedOn w:val="DefaultParagraphFont"/>
    <w:link w:val="FootnoteText"/>
    <w:uiPriority w:val="99"/>
    <w:rsid w:val="00F97D2F"/>
    <w:rPr>
      <w:rFonts w:ascii="Times New Roman" w:hAnsi="Times New Roman" w:cs="Times New Roman"/>
      <w:sz w:val="20"/>
      <w:szCs w:val="20"/>
    </w:rPr>
  </w:style>
  <w:style w:type="character" w:styleId="FootnoteReference">
    <w:name w:val="footnote reference"/>
    <w:aliases w:val="*"/>
    <w:basedOn w:val="DefaultParagraphFont"/>
    <w:unhideWhenUsed/>
    <w:rsid w:val="00F97D2F"/>
    <w:rPr>
      <w:vertAlign w:val="superscript"/>
    </w:rPr>
  </w:style>
  <w:style w:type="paragraph" w:styleId="EndnoteText">
    <w:name w:val="endnote text"/>
    <w:basedOn w:val="Normal"/>
    <w:link w:val="EndnoteTextChar"/>
    <w:uiPriority w:val="99"/>
    <w:rsid w:val="00F97D2F"/>
    <w:pPr>
      <w:spacing w:after="100"/>
    </w:pPr>
    <w:rPr>
      <w:sz w:val="20"/>
      <w:szCs w:val="20"/>
    </w:rPr>
  </w:style>
  <w:style w:type="character" w:customStyle="1" w:styleId="EndnoteTextChar">
    <w:name w:val="Endnote Text Char"/>
    <w:basedOn w:val="DefaultParagraphFont"/>
    <w:link w:val="EndnoteText"/>
    <w:uiPriority w:val="99"/>
    <w:rsid w:val="00F97D2F"/>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F97D2F"/>
    <w:rPr>
      <w:vertAlign w:val="superscript"/>
    </w:rPr>
  </w:style>
  <w:style w:type="paragraph" w:styleId="TOC1">
    <w:name w:val="toc 1"/>
    <w:basedOn w:val="Normal"/>
    <w:next w:val="Normal"/>
    <w:uiPriority w:val="99"/>
    <w:rsid w:val="00F97D2F"/>
    <w:pPr>
      <w:tabs>
        <w:tab w:val="right" w:leader="dot" w:pos="9000"/>
      </w:tabs>
      <w:ind w:left="720" w:right="720" w:hanging="720"/>
      <w:jc w:val="left"/>
    </w:pPr>
  </w:style>
  <w:style w:type="paragraph" w:styleId="TOC2">
    <w:name w:val="toc 2"/>
    <w:basedOn w:val="TOC1"/>
    <w:next w:val="Normal"/>
    <w:uiPriority w:val="99"/>
    <w:rsid w:val="00F97D2F"/>
    <w:pPr>
      <w:ind w:left="1440"/>
    </w:pPr>
  </w:style>
  <w:style w:type="paragraph" w:styleId="TOC3">
    <w:name w:val="toc 3"/>
    <w:basedOn w:val="TOC1"/>
    <w:next w:val="Normal"/>
    <w:uiPriority w:val="99"/>
    <w:rsid w:val="00F97D2F"/>
    <w:pPr>
      <w:ind w:left="2160"/>
    </w:pPr>
  </w:style>
  <w:style w:type="paragraph" w:styleId="TOC4">
    <w:name w:val="toc 4"/>
    <w:basedOn w:val="TOC1"/>
    <w:next w:val="Normal"/>
    <w:uiPriority w:val="99"/>
    <w:rsid w:val="00F97D2F"/>
    <w:pPr>
      <w:tabs>
        <w:tab w:val="right" w:pos="9000"/>
      </w:tabs>
      <w:spacing w:before="220"/>
      <w:ind w:left="0" w:firstLine="0"/>
    </w:pPr>
    <w:rPr>
      <w:b/>
      <w:bCs/>
      <w:caps/>
    </w:rPr>
  </w:style>
  <w:style w:type="paragraph" w:styleId="TOC5">
    <w:name w:val="toc 5"/>
    <w:basedOn w:val="TOC1"/>
    <w:next w:val="Normal"/>
    <w:uiPriority w:val="99"/>
    <w:rsid w:val="00F97D2F"/>
    <w:pPr>
      <w:ind w:left="0" w:firstLine="0"/>
    </w:pPr>
  </w:style>
  <w:style w:type="paragraph" w:styleId="TOC6">
    <w:name w:val="toc 6"/>
    <w:basedOn w:val="TOC1"/>
    <w:next w:val="Normal"/>
    <w:uiPriority w:val="99"/>
    <w:rsid w:val="00F97D2F"/>
    <w:pPr>
      <w:ind w:firstLine="0"/>
    </w:pPr>
  </w:style>
  <w:style w:type="character" w:styleId="Hyperlink">
    <w:name w:val="Hyperlink"/>
    <w:basedOn w:val="DefaultParagraphFont"/>
    <w:uiPriority w:val="99"/>
    <w:unhideWhenUsed/>
    <w:rsid w:val="00F3296D"/>
    <w:rPr>
      <w:color w:val="0000FF" w:themeColor="hyperlink"/>
      <w:u w:val="single"/>
    </w:rPr>
  </w:style>
  <w:style w:type="table" w:styleId="TableGrid">
    <w:name w:val="Table Grid"/>
    <w:basedOn w:val="TableNormal"/>
    <w:uiPriority w:val="59"/>
    <w:rsid w:val="00F3296D"/>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FD8"/>
    <w:pPr>
      <w:adjustRightInd/>
      <w:ind w:left="720"/>
      <w:contextualSpacing/>
    </w:pPr>
    <w:rPr>
      <w:szCs w:val="24"/>
      <w:lang w:eastAsia="en-US"/>
    </w:rPr>
  </w:style>
  <w:style w:type="paragraph" w:styleId="Index7">
    <w:name w:val="index 7"/>
    <w:basedOn w:val="Normal"/>
    <w:next w:val="Normal"/>
    <w:semiHidden/>
    <w:rsid w:val="008E693D"/>
    <w:pPr>
      <w:adjustRightInd/>
      <w:ind w:left="1680" w:hanging="240"/>
    </w:pPr>
    <w:rPr>
      <w:szCs w:val="24"/>
      <w:lang w:eastAsia="en-US"/>
    </w:rPr>
  </w:style>
  <w:style w:type="paragraph" w:styleId="BalloonText">
    <w:name w:val="Balloon Text"/>
    <w:basedOn w:val="Normal"/>
    <w:link w:val="BalloonTextChar"/>
    <w:uiPriority w:val="99"/>
    <w:semiHidden/>
    <w:unhideWhenUsed/>
    <w:rsid w:val="002207AB"/>
    <w:rPr>
      <w:rFonts w:ascii="Tahoma" w:hAnsi="Tahoma" w:cs="Tahoma"/>
      <w:sz w:val="16"/>
      <w:szCs w:val="16"/>
    </w:rPr>
  </w:style>
  <w:style w:type="character" w:customStyle="1" w:styleId="BalloonTextChar">
    <w:name w:val="Balloon Text Char"/>
    <w:basedOn w:val="DefaultParagraphFont"/>
    <w:link w:val="BalloonText"/>
    <w:uiPriority w:val="99"/>
    <w:semiHidden/>
    <w:rsid w:val="002207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Bidi" w:eastAsia="Times New Roman" w:hAnsiTheme="minorBid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D2F"/>
    <w:pPr>
      <w:adjustRightInd w:val="0"/>
      <w:spacing w:after="0" w:line="240" w:lineRule="auto"/>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7D2F"/>
    <w:pPr>
      <w:tabs>
        <w:tab w:val="center" w:pos="4160"/>
        <w:tab w:val="right" w:pos="8300"/>
      </w:tabs>
    </w:pPr>
  </w:style>
  <w:style w:type="character" w:customStyle="1" w:styleId="HeaderChar">
    <w:name w:val="Header Char"/>
    <w:basedOn w:val="DefaultParagraphFont"/>
    <w:link w:val="Header"/>
    <w:uiPriority w:val="99"/>
    <w:rsid w:val="00F97D2F"/>
    <w:rPr>
      <w:rFonts w:ascii="Times New Roman" w:hAnsi="Times New Roman" w:cs="Times New Roman"/>
    </w:rPr>
  </w:style>
  <w:style w:type="paragraph" w:styleId="Footer">
    <w:name w:val="footer"/>
    <w:basedOn w:val="Normal"/>
    <w:link w:val="FooterChar"/>
    <w:uiPriority w:val="99"/>
    <w:rsid w:val="00F97D2F"/>
    <w:pPr>
      <w:tabs>
        <w:tab w:val="center" w:pos="4160"/>
        <w:tab w:val="right" w:pos="8300"/>
      </w:tabs>
    </w:pPr>
  </w:style>
  <w:style w:type="character" w:customStyle="1" w:styleId="FooterChar">
    <w:name w:val="Footer Char"/>
    <w:basedOn w:val="DefaultParagraphFont"/>
    <w:link w:val="Footer"/>
    <w:uiPriority w:val="99"/>
    <w:rsid w:val="00F97D2F"/>
    <w:rPr>
      <w:rFonts w:ascii="Times New Roman" w:hAnsi="Times New Roman" w:cs="Times New Roman"/>
    </w:rPr>
  </w:style>
  <w:style w:type="paragraph" w:customStyle="1" w:styleId="Body">
    <w:name w:val="Body"/>
    <w:basedOn w:val="Normal"/>
    <w:uiPriority w:val="99"/>
    <w:rsid w:val="00F97D2F"/>
    <w:pPr>
      <w:spacing w:after="220"/>
    </w:pPr>
  </w:style>
  <w:style w:type="paragraph" w:customStyle="1" w:styleId="ACBody1">
    <w:name w:val="AC Body 1"/>
    <w:basedOn w:val="Body"/>
    <w:uiPriority w:val="99"/>
    <w:rsid w:val="00F97D2F"/>
    <w:pPr>
      <w:ind w:left="720"/>
    </w:pPr>
  </w:style>
  <w:style w:type="paragraph" w:customStyle="1" w:styleId="ACLevel1">
    <w:name w:val="AC Level 1"/>
    <w:basedOn w:val="ACBody1"/>
    <w:uiPriority w:val="99"/>
    <w:rsid w:val="00F97D2F"/>
    <w:pPr>
      <w:numPr>
        <w:numId w:val="5"/>
      </w:numPr>
      <w:outlineLvl w:val="0"/>
    </w:pPr>
  </w:style>
  <w:style w:type="character" w:customStyle="1" w:styleId="ACLevel1asheadingtext">
    <w:name w:val="AC Level 1 as heading (text)"/>
    <w:basedOn w:val="DefaultParagraphFont"/>
    <w:uiPriority w:val="99"/>
    <w:rsid w:val="00F97D2F"/>
    <w:rPr>
      <w:b/>
      <w:bCs/>
    </w:rPr>
  </w:style>
  <w:style w:type="paragraph" w:customStyle="1" w:styleId="ACBody2">
    <w:name w:val="AC Body 2"/>
    <w:basedOn w:val="Body"/>
    <w:uiPriority w:val="99"/>
    <w:rsid w:val="00F97D2F"/>
    <w:pPr>
      <w:ind w:left="1440"/>
    </w:pPr>
  </w:style>
  <w:style w:type="paragraph" w:customStyle="1" w:styleId="ACLevel2">
    <w:name w:val="AC Level 2"/>
    <w:basedOn w:val="ACBody2"/>
    <w:uiPriority w:val="99"/>
    <w:rsid w:val="00F97D2F"/>
    <w:pPr>
      <w:numPr>
        <w:ilvl w:val="1"/>
        <w:numId w:val="5"/>
      </w:numPr>
      <w:outlineLvl w:val="1"/>
    </w:pPr>
  </w:style>
  <w:style w:type="character" w:customStyle="1" w:styleId="ACLevel2asheadingtext">
    <w:name w:val="AC Level 2 as heading (text)"/>
    <w:basedOn w:val="DefaultParagraphFont"/>
    <w:uiPriority w:val="99"/>
    <w:rsid w:val="00F97D2F"/>
    <w:rPr>
      <w:b/>
      <w:bCs/>
    </w:rPr>
  </w:style>
  <w:style w:type="paragraph" w:customStyle="1" w:styleId="ACBody3">
    <w:name w:val="AC Body 3"/>
    <w:basedOn w:val="Body"/>
    <w:uiPriority w:val="99"/>
    <w:rsid w:val="00F97D2F"/>
    <w:pPr>
      <w:ind w:left="2160"/>
    </w:pPr>
  </w:style>
  <w:style w:type="paragraph" w:customStyle="1" w:styleId="ACLevel3">
    <w:name w:val="AC Level 3"/>
    <w:basedOn w:val="ACBody3"/>
    <w:uiPriority w:val="99"/>
    <w:rsid w:val="00F97D2F"/>
    <w:pPr>
      <w:numPr>
        <w:ilvl w:val="2"/>
        <w:numId w:val="5"/>
      </w:numPr>
      <w:outlineLvl w:val="2"/>
    </w:pPr>
  </w:style>
  <w:style w:type="character" w:customStyle="1" w:styleId="ACLevel3asheadingtext">
    <w:name w:val="AC Level 3 as heading (text)"/>
    <w:basedOn w:val="DefaultParagraphFont"/>
    <w:uiPriority w:val="99"/>
    <w:rsid w:val="00F97D2F"/>
    <w:rPr>
      <w:b/>
      <w:bCs/>
    </w:rPr>
  </w:style>
  <w:style w:type="paragraph" w:customStyle="1" w:styleId="ACBody4">
    <w:name w:val="AC Body 4"/>
    <w:basedOn w:val="Body"/>
    <w:uiPriority w:val="99"/>
    <w:rsid w:val="00F97D2F"/>
    <w:pPr>
      <w:ind w:left="2880"/>
    </w:pPr>
  </w:style>
  <w:style w:type="paragraph" w:customStyle="1" w:styleId="ACLevel4">
    <w:name w:val="AC Level 4"/>
    <w:basedOn w:val="ACBody4"/>
    <w:uiPriority w:val="99"/>
    <w:rsid w:val="00F97D2F"/>
    <w:pPr>
      <w:numPr>
        <w:ilvl w:val="3"/>
        <w:numId w:val="5"/>
      </w:numPr>
      <w:outlineLvl w:val="3"/>
    </w:pPr>
  </w:style>
  <w:style w:type="paragraph" w:customStyle="1" w:styleId="ACBody5">
    <w:name w:val="AC Body 5"/>
    <w:basedOn w:val="Body"/>
    <w:uiPriority w:val="99"/>
    <w:rsid w:val="00F97D2F"/>
    <w:pPr>
      <w:ind w:left="3600"/>
    </w:pPr>
  </w:style>
  <w:style w:type="paragraph" w:customStyle="1" w:styleId="ACLevel5">
    <w:name w:val="AC Level 5"/>
    <w:basedOn w:val="ACBody5"/>
    <w:uiPriority w:val="99"/>
    <w:rsid w:val="00F97D2F"/>
    <w:pPr>
      <w:numPr>
        <w:ilvl w:val="4"/>
        <w:numId w:val="5"/>
      </w:numPr>
      <w:outlineLvl w:val="4"/>
    </w:pPr>
  </w:style>
  <w:style w:type="paragraph" w:customStyle="1" w:styleId="ACSchLv1">
    <w:name w:val="AC Sch Lv 1"/>
    <w:basedOn w:val="ACBody1"/>
    <w:uiPriority w:val="99"/>
    <w:rsid w:val="00F97D2F"/>
    <w:pPr>
      <w:numPr>
        <w:numId w:val="10"/>
      </w:numPr>
      <w:outlineLvl w:val="0"/>
    </w:pPr>
  </w:style>
  <w:style w:type="character" w:customStyle="1" w:styleId="ACSchLv1asheadingtext">
    <w:name w:val="AC Sch Lv 1 as heading (text)"/>
    <w:basedOn w:val="DefaultParagraphFont"/>
    <w:uiPriority w:val="99"/>
    <w:rsid w:val="00F97D2F"/>
    <w:rPr>
      <w:b/>
      <w:bCs/>
    </w:rPr>
  </w:style>
  <w:style w:type="paragraph" w:customStyle="1" w:styleId="ACSchLv2">
    <w:name w:val="AC Sch Lv 2"/>
    <w:basedOn w:val="ACBody2"/>
    <w:uiPriority w:val="99"/>
    <w:rsid w:val="00F97D2F"/>
    <w:pPr>
      <w:numPr>
        <w:ilvl w:val="1"/>
        <w:numId w:val="10"/>
      </w:numPr>
      <w:outlineLvl w:val="1"/>
    </w:pPr>
  </w:style>
  <w:style w:type="character" w:customStyle="1" w:styleId="ACSchLv2asheadingtext">
    <w:name w:val="AC Sch Lv 2 as heading (text)"/>
    <w:basedOn w:val="DefaultParagraphFont"/>
    <w:uiPriority w:val="99"/>
    <w:rsid w:val="00F97D2F"/>
    <w:rPr>
      <w:b/>
      <w:bCs/>
    </w:rPr>
  </w:style>
  <w:style w:type="paragraph" w:customStyle="1" w:styleId="ACSchLv3">
    <w:name w:val="AC Sch Lv 3"/>
    <w:basedOn w:val="ACBody3"/>
    <w:uiPriority w:val="99"/>
    <w:rsid w:val="00F97D2F"/>
    <w:pPr>
      <w:numPr>
        <w:ilvl w:val="2"/>
        <w:numId w:val="10"/>
      </w:numPr>
      <w:outlineLvl w:val="2"/>
    </w:pPr>
  </w:style>
  <w:style w:type="character" w:customStyle="1" w:styleId="ACSchLv3asheadingtext">
    <w:name w:val="AC Sch Lv 3 as heading (text)"/>
    <w:basedOn w:val="DefaultParagraphFont"/>
    <w:uiPriority w:val="99"/>
    <w:rsid w:val="00F97D2F"/>
    <w:rPr>
      <w:b/>
      <w:bCs/>
    </w:rPr>
  </w:style>
  <w:style w:type="paragraph" w:customStyle="1" w:styleId="ACSchLv4">
    <w:name w:val="AC Sch Lv 4"/>
    <w:basedOn w:val="ACBody4"/>
    <w:uiPriority w:val="99"/>
    <w:rsid w:val="00F97D2F"/>
    <w:pPr>
      <w:numPr>
        <w:ilvl w:val="3"/>
        <w:numId w:val="10"/>
      </w:numPr>
      <w:outlineLvl w:val="3"/>
    </w:pPr>
  </w:style>
  <w:style w:type="paragraph" w:customStyle="1" w:styleId="ACSchLv5">
    <w:name w:val="AC Sch Lv 5"/>
    <w:basedOn w:val="ACBody5"/>
    <w:uiPriority w:val="99"/>
    <w:rsid w:val="00F97D2F"/>
    <w:pPr>
      <w:numPr>
        <w:ilvl w:val="4"/>
        <w:numId w:val="10"/>
      </w:numPr>
      <w:outlineLvl w:val="4"/>
    </w:pPr>
  </w:style>
  <w:style w:type="paragraph" w:customStyle="1" w:styleId="ACBulletLv1">
    <w:name w:val="AC Bullet Lv 1"/>
    <w:basedOn w:val="ACBody1"/>
    <w:uiPriority w:val="99"/>
    <w:rsid w:val="00F97D2F"/>
    <w:pPr>
      <w:numPr>
        <w:numId w:val="15"/>
      </w:numPr>
      <w:outlineLvl w:val="0"/>
    </w:pPr>
  </w:style>
  <w:style w:type="paragraph" w:customStyle="1" w:styleId="ACBulletLv2">
    <w:name w:val="AC Bullet Lv 2"/>
    <w:basedOn w:val="ACBody2"/>
    <w:uiPriority w:val="99"/>
    <w:rsid w:val="00F97D2F"/>
    <w:pPr>
      <w:numPr>
        <w:ilvl w:val="1"/>
        <w:numId w:val="15"/>
      </w:numPr>
      <w:outlineLvl w:val="1"/>
    </w:pPr>
  </w:style>
  <w:style w:type="paragraph" w:customStyle="1" w:styleId="ACBulletLv3">
    <w:name w:val="AC Bullet Lv 3"/>
    <w:basedOn w:val="ACBody3"/>
    <w:uiPriority w:val="99"/>
    <w:rsid w:val="00F97D2F"/>
    <w:pPr>
      <w:numPr>
        <w:ilvl w:val="2"/>
        <w:numId w:val="15"/>
      </w:numPr>
      <w:outlineLvl w:val="2"/>
    </w:pPr>
  </w:style>
  <w:style w:type="paragraph" w:customStyle="1" w:styleId="ACBulletLv4">
    <w:name w:val="AC Bullet Lv 4"/>
    <w:basedOn w:val="ACBody4"/>
    <w:uiPriority w:val="99"/>
    <w:rsid w:val="00F97D2F"/>
    <w:pPr>
      <w:numPr>
        <w:ilvl w:val="3"/>
        <w:numId w:val="15"/>
      </w:numPr>
      <w:outlineLvl w:val="3"/>
    </w:pPr>
  </w:style>
  <w:style w:type="paragraph" w:customStyle="1" w:styleId="ACBulletLv5">
    <w:name w:val="AC Bullet Lv 5"/>
    <w:basedOn w:val="ACBody5"/>
    <w:uiPriority w:val="99"/>
    <w:rsid w:val="00F97D2F"/>
    <w:pPr>
      <w:numPr>
        <w:ilvl w:val="4"/>
        <w:numId w:val="15"/>
      </w:numPr>
      <w:outlineLvl w:val="4"/>
    </w:pPr>
  </w:style>
  <w:style w:type="paragraph" w:customStyle="1" w:styleId="ACAppendix">
    <w:name w:val="AC Appendix"/>
    <w:basedOn w:val="Body"/>
    <w:next w:val="ACSubHeading"/>
    <w:uiPriority w:val="99"/>
    <w:rsid w:val="00F97D2F"/>
    <w:pPr>
      <w:keepNext/>
      <w:keepLines/>
      <w:numPr>
        <w:ilvl w:val="1"/>
        <w:numId w:val="18"/>
      </w:numPr>
      <w:jc w:val="center"/>
    </w:pPr>
    <w:rPr>
      <w:b/>
      <w:bCs/>
    </w:rPr>
  </w:style>
  <w:style w:type="paragraph" w:customStyle="1" w:styleId="ACPart">
    <w:name w:val="AC Part"/>
    <w:basedOn w:val="Body"/>
    <w:next w:val="ACSubHeading"/>
    <w:uiPriority w:val="99"/>
    <w:rsid w:val="00F97D2F"/>
    <w:pPr>
      <w:keepNext/>
      <w:keepLines/>
      <w:numPr>
        <w:ilvl w:val="2"/>
        <w:numId w:val="18"/>
      </w:numPr>
      <w:jc w:val="center"/>
    </w:pPr>
  </w:style>
  <w:style w:type="paragraph" w:customStyle="1" w:styleId="ACSchedule">
    <w:name w:val="AC Schedule"/>
    <w:basedOn w:val="Body"/>
    <w:next w:val="ACSubHeading"/>
    <w:uiPriority w:val="99"/>
    <w:rsid w:val="00F97D2F"/>
    <w:pPr>
      <w:keepNext/>
      <w:keepLines/>
      <w:numPr>
        <w:numId w:val="18"/>
      </w:numPr>
      <w:jc w:val="center"/>
    </w:pPr>
    <w:rPr>
      <w:b/>
      <w:bCs/>
    </w:rPr>
  </w:style>
  <w:style w:type="paragraph" w:customStyle="1" w:styleId="ACSubHeading">
    <w:name w:val="AC Sub Heading"/>
    <w:basedOn w:val="Body"/>
    <w:next w:val="Body"/>
    <w:uiPriority w:val="99"/>
    <w:rsid w:val="00F97D2F"/>
    <w:pPr>
      <w:keepNext/>
      <w:keepLines/>
      <w:numPr>
        <w:numId w:val="19"/>
      </w:numPr>
      <w:jc w:val="center"/>
    </w:pPr>
    <w:rPr>
      <w:b/>
      <w:bCs/>
    </w:rPr>
  </w:style>
  <w:style w:type="paragraph" w:styleId="FootnoteText">
    <w:name w:val="footnote text"/>
    <w:aliases w:val="Footnote Text Char1 Char"/>
    <w:basedOn w:val="Normal"/>
    <w:link w:val="FootnoteTextChar"/>
    <w:uiPriority w:val="99"/>
    <w:rsid w:val="00F97D2F"/>
    <w:pPr>
      <w:spacing w:after="100"/>
    </w:pPr>
    <w:rPr>
      <w:sz w:val="20"/>
      <w:szCs w:val="20"/>
    </w:rPr>
  </w:style>
  <w:style w:type="character" w:customStyle="1" w:styleId="FootnoteTextChar">
    <w:name w:val="Footnote Text Char"/>
    <w:aliases w:val="Footnote Text Char1 Char Char"/>
    <w:basedOn w:val="DefaultParagraphFont"/>
    <w:link w:val="FootnoteText"/>
    <w:uiPriority w:val="99"/>
    <w:rsid w:val="00F97D2F"/>
    <w:rPr>
      <w:rFonts w:ascii="Times New Roman" w:hAnsi="Times New Roman" w:cs="Times New Roman"/>
      <w:sz w:val="20"/>
      <w:szCs w:val="20"/>
    </w:rPr>
  </w:style>
  <w:style w:type="character" w:styleId="FootnoteReference">
    <w:name w:val="footnote reference"/>
    <w:aliases w:val="*"/>
    <w:basedOn w:val="DefaultParagraphFont"/>
    <w:unhideWhenUsed/>
    <w:rsid w:val="00F97D2F"/>
    <w:rPr>
      <w:vertAlign w:val="superscript"/>
    </w:rPr>
  </w:style>
  <w:style w:type="paragraph" w:styleId="EndnoteText">
    <w:name w:val="endnote text"/>
    <w:basedOn w:val="Normal"/>
    <w:link w:val="EndnoteTextChar"/>
    <w:uiPriority w:val="99"/>
    <w:rsid w:val="00F97D2F"/>
    <w:pPr>
      <w:spacing w:after="100"/>
    </w:pPr>
    <w:rPr>
      <w:sz w:val="20"/>
      <w:szCs w:val="20"/>
    </w:rPr>
  </w:style>
  <w:style w:type="character" w:customStyle="1" w:styleId="EndnoteTextChar">
    <w:name w:val="Endnote Text Char"/>
    <w:basedOn w:val="DefaultParagraphFont"/>
    <w:link w:val="EndnoteText"/>
    <w:uiPriority w:val="99"/>
    <w:rsid w:val="00F97D2F"/>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F97D2F"/>
    <w:rPr>
      <w:vertAlign w:val="superscript"/>
    </w:rPr>
  </w:style>
  <w:style w:type="paragraph" w:styleId="TOC1">
    <w:name w:val="toc 1"/>
    <w:basedOn w:val="Normal"/>
    <w:next w:val="Normal"/>
    <w:uiPriority w:val="99"/>
    <w:rsid w:val="00F97D2F"/>
    <w:pPr>
      <w:tabs>
        <w:tab w:val="right" w:leader="dot" w:pos="9000"/>
      </w:tabs>
      <w:ind w:left="720" w:right="720" w:hanging="720"/>
      <w:jc w:val="left"/>
    </w:pPr>
  </w:style>
  <w:style w:type="paragraph" w:styleId="TOC2">
    <w:name w:val="toc 2"/>
    <w:basedOn w:val="TOC1"/>
    <w:next w:val="Normal"/>
    <w:uiPriority w:val="99"/>
    <w:rsid w:val="00F97D2F"/>
    <w:pPr>
      <w:ind w:left="1440"/>
    </w:pPr>
  </w:style>
  <w:style w:type="paragraph" w:styleId="TOC3">
    <w:name w:val="toc 3"/>
    <w:basedOn w:val="TOC1"/>
    <w:next w:val="Normal"/>
    <w:uiPriority w:val="99"/>
    <w:rsid w:val="00F97D2F"/>
    <w:pPr>
      <w:ind w:left="2160"/>
    </w:pPr>
  </w:style>
  <w:style w:type="paragraph" w:styleId="TOC4">
    <w:name w:val="toc 4"/>
    <w:basedOn w:val="TOC1"/>
    <w:next w:val="Normal"/>
    <w:uiPriority w:val="99"/>
    <w:rsid w:val="00F97D2F"/>
    <w:pPr>
      <w:tabs>
        <w:tab w:val="right" w:pos="9000"/>
      </w:tabs>
      <w:spacing w:before="220"/>
      <w:ind w:left="0" w:firstLine="0"/>
    </w:pPr>
    <w:rPr>
      <w:b/>
      <w:bCs/>
      <w:caps/>
    </w:rPr>
  </w:style>
  <w:style w:type="paragraph" w:styleId="TOC5">
    <w:name w:val="toc 5"/>
    <w:basedOn w:val="TOC1"/>
    <w:next w:val="Normal"/>
    <w:uiPriority w:val="99"/>
    <w:rsid w:val="00F97D2F"/>
    <w:pPr>
      <w:ind w:left="0" w:firstLine="0"/>
    </w:pPr>
  </w:style>
  <w:style w:type="paragraph" w:styleId="TOC6">
    <w:name w:val="toc 6"/>
    <w:basedOn w:val="TOC1"/>
    <w:next w:val="Normal"/>
    <w:uiPriority w:val="99"/>
    <w:rsid w:val="00F97D2F"/>
    <w:pPr>
      <w:ind w:firstLine="0"/>
    </w:pPr>
  </w:style>
  <w:style w:type="character" w:styleId="Hyperlink">
    <w:name w:val="Hyperlink"/>
    <w:basedOn w:val="DefaultParagraphFont"/>
    <w:uiPriority w:val="99"/>
    <w:unhideWhenUsed/>
    <w:rsid w:val="00F3296D"/>
    <w:rPr>
      <w:color w:val="0000FF" w:themeColor="hyperlink"/>
      <w:u w:val="single"/>
    </w:rPr>
  </w:style>
  <w:style w:type="table" w:styleId="TableGrid">
    <w:name w:val="Table Grid"/>
    <w:basedOn w:val="TableNormal"/>
    <w:uiPriority w:val="59"/>
    <w:rsid w:val="00F3296D"/>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FD8"/>
    <w:pPr>
      <w:adjustRightInd/>
      <w:ind w:left="720"/>
      <w:contextualSpacing/>
    </w:pPr>
    <w:rPr>
      <w:szCs w:val="24"/>
      <w:lang w:eastAsia="en-US"/>
    </w:rPr>
  </w:style>
  <w:style w:type="paragraph" w:styleId="Index7">
    <w:name w:val="index 7"/>
    <w:basedOn w:val="Normal"/>
    <w:next w:val="Normal"/>
    <w:semiHidden/>
    <w:rsid w:val="008E693D"/>
    <w:pPr>
      <w:adjustRightInd/>
      <w:ind w:left="1680" w:hanging="240"/>
    </w:pPr>
    <w:rPr>
      <w:szCs w:val="24"/>
      <w:lang w:eastAsia="en-US"/>
    </w:rPr>
  </w:style>
  <w:style w:type="paragraph" w:styleId="BalloonText">
    <w:name w:val="Balloon Text"/>
    <w:basedOn w:val="Normal"/>
    <w:link w:val="BalloonTextChar"/>
    <w:uiPriority w:val="99"/>
    <w:semiHidden/>
    <w:unhideWhenUsed/>
    <w:rsid w:val="002207AB"/>
    <w:rPr>
      <w:rFonts w:ascii="Tahoma" w:hAnsi="Tahoma" w:cs="Tahoma"/>
      <w:sz w:val="16"/>
      <w:szCs w:val="16"/>
    </w:rPr>
  </w:style>
  <w:style w:type="character" w:customStyle="1" w:styleId="BalloonTextChar">
    <w:name w:val="Balloon Text Char"/>
    <w:basedOn w:val="DefaultParagraphFont"/>
    <w:link w:val="BalloonText"/>
    <w:uiPriority w:val="99"/>
    <w:semiHidden/>
    <w:rsid w:val="00220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95B07-954B-4C2A-91A7-83937ACC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Campus</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Undefined</dc:creator>
  <cp:lastModifiedBy>Noel Boyle</cp:lastModifiedBy>
  <cp:revision>2</cp:revision>
  <dcterms:created xsi:type="dcterms:W3CDTF">2018-06-07T13:56:00Z</dcterms:created>
  <dcterms:modified xsi:type="dcterms:W3CDTF">2018-06-07T13:56:00Z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DocRef">
    <vt:lpwstr>AC#28098097.1</vt:lpwstr>
  </property>
  <property fmtid="{D5CDD505-2E9C-101B-9397-08002B2CF9AE}" pid="3" name="ACMatter">
    <vt:lpwstr>CA442/007/</vt:lpwstr>
  </property>
  <property fmtid="{D5CDD505-2E9C-101B-9397-08002B2CF9AE}" pid="4" name="ACDocType">
    <vt:lpwstr>DOCUMENT</vt:lpwstr>
  </property>
</Properties>
</file>