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EE" w:rsidRPr="00265C00" w:rsidRDefault="00C3490B" w:rsidP="00913426">
      <w:pPr>
        <w:spacing w:before="240" w:after="60"/>
        <w:jc w:val="center"/>
        <w:outlineLvl w:val="0"/>
        <w:rPr>
          <w:rFonts w:eastAsiaTheme="majorEastAsia"/>
          <w:b/>
          <w:bCs/>
          <w:sz w:val="28"/>
          <w:szCs w:val="28"/>
        </w:rPr>
      </w:pPr>
      <w:r w:rsidRPr="00C3490B">
        <w:rPr>
          <w:rFonts w:eastAsiaTheme="minorEastAsia"/>
          <w:b/>
          <w:sz w:val="28"/>
          <w:szCs w:val="28"/>
          <w:highlight w:val="yellow"/>
        </w:rPr>
        <w:t>[</w:t>
      </w:r>
      <w:r w:rsidR="003C2260">
        <w:rPr>
          <w:rFonts w:eastAsiaTheme="minorEastAsia"/>
          <w:b/>
          <w:color w:val="FF0000"/>
          <w:sz w:val="28"/>
          <w:szCs w:val="28"/>
          <w:highlight w:val="yellow"/>
        </w:rPr>
        <w:t>Stafford Fuels</w:t>
      </w:r>
      <w:r w:rsidRPr="00C3490B">
        <w:rPr>
          <w:rFonts w:eastAsiaTheme="minorEastAsia"/>
          <w:b/>
          <w:color w:val="FF0000"/>
          <w:sz w:val="28"/>
          <w:szCs w:val="28"/>
          <w:highlight w:val="yellow"/>
        </w:rPr>
        <w:t xml:space="preserve"> Limited</w:t>
      </w:r>
      <w:r w:rsidRPr="00C3490B">
        <w:rPr>
          <w:rFonts w:eastAsiaTheme="minorEastAsia"/>
          <w:b/>
          <w:sz w:val="28"/>
          <w:szCs w:val="28"/>
          <w:highlight w:val="yellow"/>
        </w:rPr>
        <w:t>]</w:t>
      </w:r>
      <w:r w:rsidRPr="00C3490B">
        <w:rPr>
          <w:rFonts w:eastAsiaTheme="minorEastAsia"/>
          <w:sz w:val="28"/>
          <w:szCs w:val="28"/>
        </w:rPr>
        <w:t xml:space="preserve"> </w:t>
      </w:r>
      <w:r w:rsidR="0025602B" w:rsidRPr="00C3490B">
        <w:rPr>
          <w:rFonts w:eastAsiaTheme="majorEastAsia"/>
          <w:b/>
          <w:bCs/>
          <w:sz w:val="28"/>
          <w:szCs w:val="28"/>
        </w:rPr>
        <w:t>Data</w:t>
      </w:r>
      <w:r w:rsidR="0025602B" w:rsidRPr="00265C00">
        <w:rPr>
          <w:rFonts w:eastAsiaTheme="majorEastAsia"/>
          <w:b/>
          <w:bCs/>
          <w:sz w:val="28"/>
          <w:szCs w:val="28"/>
        </w:rPr>
        <w:t xml:space="preserve"> Protection Impact Assessment</w:t>
      </w:r>
      <w:r w:rsidR="00DF3C42" w:rsidRPr="00265C00">
        <w:rPr>
          <w:rStyle w:val="FootnoteReference"/>
          <w:sz w:val="28"/>
          <w:szCs w:val="28"/>
        </w:rPr>
        <w:footnoteReference w:id="1"/>
      </w:r>
    </w:p>
    <w:p w:rsidR="0095679C" w:rsidRPr="00913426" w:rsidRDefault="0095679C" w:rsidP="00913426"/>
    <w:p w:rsidR="00CA355F" w:rsidRPr="00913426" w:rsidRDefault="003E513C" w:rsidP="003E513C">
      <w:pPr>
        <w:jc w:val="left"/>
      </w:pPr>
      <w:r>
        <w:t>[</w:t>
      </w:r>
      <w:r w:rsidRPr="003E513C">
        <w:rPr>
          <w:highlight w:val="yellow"/>
        </w:rPr>
        <w:t>Date</w:t>
      </w:r>
      <w:r>
        <w:t>]</w:t>
      </w:r>
    </w:p>
    <w:p w:rsidR="00CC366E" w:rsidRPr="00913426" w:rsidRDefault="00CC366E" w:rsidP="00913426"/>
    <w:p w:rsidR="00CC366E" w:rsidRPr="00913426" w:rsidRDefault="00133873" w:rsidP="00133873">
      <w:pPr>
        <w:pStyle w:val="Body"/>
      </w:pPr>
      <w:r w:rsidRPr="00913426">
        <w:t>The purpose of this document is to</w:t>
      </w:r>
      <w:r w:rsidR="00F81A47">
        <w:t>:</w:t>
      </w:r>
      <w:r w:rsidRPr="00913426">
        <w:t xml:space="preserve"> (i) consider the privacy risks and the potential impact </w:t>
      </w:r>
      <w:r w:rsidR="00F75000">
        <w:t>upon the relevant individuals [</w:t>
      </w:r>
      <w:r w:rsidR="00F75000" w:rsidRPr="00F81A47">
        <w:rPr>
          <w:highlight w:val="yellow"/>
        </w:rPr>
        <w:t>(</w:t>
      </w:r>
      <w:r w:rsidRPr="00F81A47">
        <w:rPr>
          <w:highlight w:val="yellow"/>
        </w:rPr>
        <w:t>including employees</w:t>
      </w:r>
      <w:r w:rsidR="00F75000" w:rsidRPr="00F81A47">
        <w:rPr>
          <w:highlight w:val="yellow"/>
        </w:rPr>
        <w:t>)</w:t>
      </w:r>
      <w:r w:rsidR="00F75000">
        <w:t>]</w:t>
      </w:r>
      <w:r w:rsidRPr="00913426">
        <w:t xml:space="preserve"> in respect of the proposed use of [</w:t>
      </w:r>
      <w:r w:rsidRPr="00F75000">
        <w:rPr>
          <w:highlight w:val="yellow"/>
        </w:rPr>
        <w:t>insert description of new systems/technology</w:t>
      </w:r>
      <w:r w:rsidRPr="00913426">
        <w:t>]; and (ii) to describe the mitigations that will be in place to minimise those risks and to minimise any negative impact</w:t>
      </w:r>
      <w:r w:rsidR="00F81A47">
        <w:t xml:space="preserve"> from a data protection compliance perspective</w:t>
      </w:r>
      <w:r w:rsidRPr="00913426">
        <w:t>.</w:t>
      </w:r>
    </w:p>
    <w:p w:rsidR="00F75000" w:rsidRPr="00913426" w:rsidRDefault="00133873" w:rsidP="00F81A47">
      <w:pPr>
        <w:pStyle w:val="Body"/>
      </w:pPr>
      <w:r w:rsidRPr="00913426">
        <w:t>This document is written in the context of [</w:t>
      </w:r>
      <w:r w:rsidRPr="00F75000">
        <w:rPr>
          <w:highlight w:val="yellow"/>
        </w:rPr>
        <w:t xml:space="preserve">both the current Directive 95/46/EC of the European Parliament and of the Council of 24 October 1995 on the protection of individuals with regard to the processing of personal data and on the free movement of such </w:t>
      </w:r>
      <w:r w:rsidR="003E513C">
        <w:rPr>
          <w:highlight w:val="yellow"/>
        </w:rPr>
        <w:t>personal data</w:t>
      </w:r>
      <w:r w:rsidRPr="00F75000">
        <w:rPr>
          <w:highlight w:val="yellow"/>
        </w:rPr>
        <w:t xml:space="preserve"> and</w:t>
      </w:r>
      <w:r w:rsidRPr="00913426">
        <w:t>] the EU General Data Protection Regulation (</w:t>
      </w:r>
      <w:r>
        <w:t>“</w:t>
      </w:r>
      <w:r w:rsidRPr="00913426">
        <w:rPr>
          <w:b/>
        </w:rPr>
        <w:t>GDPR</w:t>
      </w:r>
      <w:r>
        <w:t>”</w:t>
      </w:r>
      <w:r w:rsidRPr="00913426">
        <w:t>)[</w:t>
      </w:r>
      <w:r w:rsidRPr="00F75000">
        <w:rPr>
          <w:highlight w:val="yellow"/>
        </w:rPr>
        <w:t>,</w:t>
      </w:r>
      <w:r w:rsidRPr="00913426">
        <w:t xml:space="preserve"> </w:t>
      </w:r>
      <w:r w:rsidRPr="00913426">
        <w:rPr>
          <w:highlight w:val="yellow"/>
        </w:rPr>
        <w:t>due to come into force from 25 May 2018</w:t>
      </w:r>
      <w:r w:rsidRPr="00913426">
        <w:t>]</w:t>
      </w:r>
      <w:r w:rsidR="009A572E">
        <w:rPr>
          <w:rStyle w:val="FootnoteReference"/>
        </w:rPr>
        <w:footnoteReference w:id="2"/>
      </w:r>
      <w:r w:rsidRPr="00913426">
        <w:t>.</w:t>
      </w:r>
    </w:p>
    <w:p w:rsidR="0025602B" w:rsidRPr="00F75000" w:rsidRDefault="00133873" w:rsidP="00F75000">
      <w:pPr>
        <w:pStyle w:val="ACLevel1"/>
        <w:keepNext/>
      </w:pPr>
      <w:r w:rsidRPr="00F75000">
        <w:rPr>
          <w:rStyle w:val="ACLevel1asheadingtext"/>
        </w:rPr>
        <w:t xml:space="preserve">Introduction </w:t>
      </w:r>
      <w:r w:rsidR="00DF3C42">
        <w:rPr>
          <w:rStyle w:val="ACLevel1asheadingtext"/>
        </w:rPr>
        <w:t>and</w:t>
      </w:r>
      <w:r w:rsidRPr="00F75000">
        <w:rPr>
          <w:rStyle w:val="ACLevel1asheadingtext"/>
        </w:rPr>
        <w:t xml:space="preserve"> </w:t>
      </w:r>
      <w:r w:rsidR="00DF3C42">
        <w:rPr>
          <w:rStyle w:val="ACLevel1asheadingtext"/>
        </w:rPr>
        <w:t>m</w:t>
      </w:r>
      <w:r w:rsidRPr="00F75000">
        <w:rPr>
          <w:rStyle w:val="ACLevel1asheadingtext"/>
        </w:rPr>
        <w:t>ethodology</w:t>
      </w:r>
    </w:p>
    <w:p w:rsidR="001D5DBD" w:rsidRPr="0029254E" w:rsidRDefault="00133873" w:rsidP="0029254E">
      <w:pPr>
        <w:pStyle w:val="ACLevel2"/>
      </w:pPr>
      <w:r w:rsidRPr="0029254E">
        <w:t>[</w:t>
      </w:r>
      <w:r w:rsidRPr="0029254E">
        <w:rPr>
          <w:highlight w:val="yellow"/>
        </w:rPr>
        <w:t>INSERT ANY RELEVANT BACKGROUND TO THE PROPOSED SYSTEM/TECHNOLOGY</w:t>
      </w:r>
      <w:r w:rsidR="0029254E">
        <w:rPr>
          <w:highlight w:val="yellow"/>
        </w:rPr>
        <w:t>/PROCESS</w:t>
      </w:r>
      <w:r w:rsidRPr="0029254E">
        <w:rPr>
          <w:highlight w:val="yellow"/>
        </w:rPr>
        <w:t xml:space="preserve"> – E.G. IS IT NEW OR AN UPGRADE</w:t>
      </w:r>
      <w:r w:rsidR="00E46CC0">
        <w:rPr>
          <w:highlight w:val="yellow"/>
        </w:rPr>
        <w:t>?</w:t>
      </w:r>
      <w:r w:rsidRPr="0029254E">
        <w:rPr>
          <w:highlight w:val="yellow"/>
        </w:rPr>
        <w:t xml:space="preserve"> WHICH ENTITY/</w:t>
      </w:r>
      <w:r w:rsidR="00E02BC1" w:rsidRPr="0029254E">
        <w:rPr>
          <w:highlight w:val="yellow"/>
        </w:rPr>
        <w:t xml:space="preserve"> </w:t>
      </w:r>
      <w:r w:rsidRPr="0029254E">
        <w:rPr>
          <w:highlight w:val="yellow"/>
        </w:rPr>
        <w:t xml:space="preserve">COMMITTEE HAS OR IS TAKING RESPONSIBILITY FOR </w:t>
      </w:r>
      <w:r w:rsidR="00E46CC0">
        <w:rPr>
          <w:highlight w:val="yellow"/>
        </w:rPr>
        <w:t>IT?</w:t>
      </w:r>
      <w:r w:rsidRPr="0029254E">
        <w:rPr>
          <w:highlight w:val="yellow"/>
        </w:rPr>
        <w:t xml:space="preserve"> ETC</w:t>
      </w:r>
      <w:r w:rsidR="0029254E">
        <w:t>].</w:t>
      </w:r>
    </w:p>
    <w:p w:rsidR="00EB5179" w:rsidRPr="0029254E" w:rsidRDefault="00610BBA" w:rsidP="0029254E">
      <w:pPr>
        <w:pStyle w:val="ACLevel2"/>
      </w:pPr>
      <w:r>
        <w:t>[</w:t>
      </w:r>
      <w:r w:rsidR="003C2260">
        <w:t>Stafford Fuels</w:t>
      </w:r>
      <w:r w:rsidR="006A6C7E">
        <w:t xml:space="preserve"> Ireland</w:t>
      </w:r>
      <w:r w:rsidR="00BC5E73">
        <w:t xml:space="preserve"> Limited (“</w:t>
      </w:r>
      <w:r w:rsidR="003C2260">
        <w:rPr>
          <w:b/>
        </w:rPr>
        <w:t>Stafford Fuels</w:t>
      </w:r>
      <w:r w:rsidR="000F6621">
        <w:t>”</w:t>
      </w:r>
      <w:r w:rsidR="00BC5E73">
        <w:t>)</w:t>
      </w:r>
      <w:r>
        <w:t>]</w:t>
      </w:r>
      <w:r>
        <w:rPr>
          <w:rStyle w:val="FootnoteReference"/>
        </w:rPr>
        <w:footnoteReference w:id="3"/>
      </w:r>
      <w:r w:rsidR="00133873" w:rsidRPr="0029254E">
        <w:t xml:space="preserve"> has prepared this Privacy Impact Assessment (“</w:t>
      </w:r>
      <w:r w:rsidR="00133873" w:rsidRPr="0029254E">
        <w:rPr>
          <w:b/>
        </w:rPr>
        <w:t>PIA</w:t>
      </w:r>
      <w:r w:rsidR="00133873" w:rsidRPr="0029254E">
        <w:t>”) in respect of its [</w:t>
      </w:r>
      <w:r w:rsidR="00133873" w:rsidRPr="0029254E">
        <w:rPr>
          <w:highlight w:val="yellow"/>
        </w:rPr>
        <w:t>use/proposed use</w:t>
      </w:r>
      <w:r w:rsidR="00133873" w:rsidRPr="0029254E">
        <w:t>] of [</w:t>
      </w:r>
      <w:r w:rsidR="00133873" w:rsidRPr="0029254E">
        <w:rPr>
          <w:highlight w:val="yellow"/>
        </w:rPr>
        <w:t>insert description of relevant systems/</w:t>
      </w:r>
      <w:r w:rsidR="0029254E">
        <w:rPr>
          <w:highlight w:val="yellow"/>
        </w:rPr>
        <w:t>technology/</w:t>
      </w:r>
      <w:r w:rsidR="00133873" w:rsidRPr="0029254E">
        <w:rPr>
          <w:highlight w:val="yellow"/>
        </w:rPr>
        <w:t>process</w:t>
      </w:r>
      <w:r w:rsidR="00133873" w:rsidRPr="0029254E">
        <w:t>] in [</w:t>
      </w:r>
      <w:r w:rsidR="00E02BC1">
        <w:rPr>
          <w:highlight w:val="yellow"/>
        </w:rPr>
        <w:t>insert relevant location</w:t>
      </w:r>
      <w:r w:rsidR="00133873" w:rsidRPr="0029254E">
        <w:t>]. In order to prepare this PIA, a questionnaire was completed by [</w:t>
      </w:r>
      <w:r w:rsidR="00133873" w:rsidRPr="006A6C7E">
        <w:rPr>
          <w:highlight w:val="yellow"/>
        </w:rPr>
        <w:t xml:space="preserve">relevant </w:t>
      </w:r>
      <w:r w:rsidR="003C2260">
        <w:rPr>
          <w:highlight w:val="yellow"/>
        </w:rPr>
        <w:t>Stafford Fuels</w:t>
      </w:r>
      <w:r w:rsidR="00133873" w:rsidRPr="006A6C7E">
        <w:rPr>
          <w:highlight w:val="yellow"/>
        </w:rPr>
        <w:t xml:space="preserve"> b</w:t>
      </w:r>
      <w:r w:rsidR="00133873" w:rsidRPr="0029254E">
        <w:rPr>
          <w:highlight w:val="yellow"/>
        </w:rPr>
        <w:t>usiness</w:t>
      </w:r>
      <w:r w:rsidR="00133873" w:rsidRPr="0029254E">
        <w:t>] which related to the [</w:t>
      </w:r>
      <w:r w:rsidR="00133873" w:rsidRPr="0029254E">
        <w:rPr>
          <w:highlight w:val="yellow"/>
        </w:rPr>
        <w:t>manner/proposed manner</w:t>
      </w:r>
      <w:r w:rsidR="00133873" w:rsidRPr="0029254E">
        <w:t>] in which [</w:t>
      </w:r>
      <w:r w:rsidR="00133873" w:rsidRPr="0029254E">
        <w:rPr>
          <w:highlight w:val="yellow"/>
        </w:rPr>
        <w:t>system/</w:t>
      </w:r>
      <w:r w:rsidR="0029254E">
        <w:rPr>
          <w:highlight w:val="yellow"/>
        </w:rPr>
        <w:t>technology/</w:t>
      </w:r>
      <w:r w:rsidR="00133873" w:rsidRPr="0029254E">
        <w:rPr>
          <w:highlight w:val="yellow"/>
        </w:rPr>
        <w:t>process</w:t>
      </w:r>
      <w:r w:rsidR="00133873" w:rsidRPr="0029254E">
        <w:t>] is [</w:t>
      </w:r>
      <w:r w:rsidR="00133873" w:rsidRPr="0029254E">
        <w:rPr>
          <w:highlight w:val="yellow"/>
        </w:rPr>
        <w:t>used/to be used</w:t>
      </w:r>
      <w:r w:rsidR="00133873" w:rsidRPr="0029254E">
        <w:t>]. This helped to identify privacy risks prior to preparing the PIA.</w:t>
      </w:r>
    </w:p>
    <w:p w:rsidR="00EB5179" w:rsidRPr="0029254E" w:rsidRDefault="00133873" w:rsidP="0029254E">
      <w:pPr>
        <w:pStyle w:val="ACLevel2"/>
      </w:pPr>
      <w:r w:rsidRPr="0029254E">
        <w:t>PIA’s are important as they allow us to anticipate and address the likely privacy impact of projects</w:t>
      </w:r>
      <w:r w:rsidR="00E46CC0">
        <w:t>, processes, systems</w:t>
      </w:r>
      <w:r w:rsidRPr="0029254E">
        <w:t xml:space="preserve"> and technologies, in order to identify privacy </w:t>
      </w:r>
      <w:r w:rsidRPr="0029254E">
        <w:lastRenderedPageBreak/>
        <w:t>related issues, develop solutions, and ensure that such issues are addressed appropriately in a manner consistent with statutory obligations and company policies.</w:t>
      </w:r>
    </w:p>
    <w:p w:rsidR="00EB5179" w:rsidRPr="0029254E" w:rsidRDefault="00133873" w:rsidP="0029254E">
      <w:pPr>
        <w:pStyle w:val="ACLevel2"/>
      </w:pPr>
      <w:r w:rsidRPr="0029254E">
        <w:t xml:space="preserve">This PIA is a statement of </w:t>
      </w:r>
      <w:r w:rsidR="003C2260">
        <w:t>Stafford Fuels</w:t>
      </w:r>
      <w:bookmarkStart w:id="0" w:name="_GoBack"/>
      <w:bookmarkEnd w:id="0"/>
      <w:r w:rsidRPr="0029254E">
        <w:t xml:space="preserve"> commitment to integrating a “privacy by design” approach to the introduction of systems, processes and technology that can impact on the privacy of [</w:t>
      </w:r>
      <w:r w:rsidR="003C2260">
        <w:rPr>
          <w:highlight w:val="yellow"/>
        </w:rPr>
        <w:t>Stafford Fuels</w:t>
      </w:r>
      <w:r w:rsidRPr="006A6C7E">
        <w:rPr>
          <w:highlight w:val="yellow"/>
        </w:rPr>
        <w:t xml:space="preserve"> employees </w:t>
      </w:r>
      <w:r w:rsidRPr="0029254E">
        <w:rPr>
          <w:highlight w:val="yellow"/>
        </w:rPr>
        <w:t>as well as third party individuals with or through whom we do business</w:t>
      </w:r>
      <w:r w:rsidRPr="0029254E">
        <w:t>].</w:t>
      </w:r>
    </w:p>
    <w:p w:rsidR="00EB5179" w:rsidRPr="0029254E" w:rsidRDefault="003C2260" w:rsidP="0029254E">
      <w:pPr>
        <w:pStyle w:val="ACLevel2"/>
      </w:pPr>
      <w:r>
        <w:t>Stafford Fuels</w:t>
      </w:r>
      <w:r w:rsidR="00133873" w:rsidRPr="0029254E">
        <w:t xml:space="preserve">, as a data controller, places a high priority on the protection of the privacy of its </w:t>
      </w:r>
      <w:r w:rsidR="0029254E">
        <w:t>[</w:t>
      </w:r>
      <w:r w:rsidR="00133873" w:rsidRPr="00DF3C42">
        <w:rPr>
          <w:highlight w:val="yellow"/>
        </w:rPr>
        <w:t>employees and such third parties</w:t>
      </w:r>
      <w:r w:rsidR="0029254E">
        <w:t>]</w:t>
      </w:r>
      <w:r w:rsidR="00133873" w:rsidRPr="0029254E">
        <w:t xml:space="preserve">. It </w:t>
      </w:r>
      <w:r w:rsidR="009A572E">
        <w:t xml:space="preserve">demonstrates its </w:t>
      </w:r>
      <w:r w:rsidR="009A572E" w:rsidRPr="0029254E">
        <w:t>commit</w:t>
      </w:r>
      <w:r w:rsidR="009A572E">
        <w:t>ment</w:t>
      </w:r>
      <w:r w:rsidR="009A572E" w:rsidRPr="0029254E">
        <w:t xml:space="preserve"> </w:t>
      </w:r>
      <w:r w:rsidR="00133873" w:rsidRPr="0029254E">
        <w:t>to a “</w:t>
      </w:r>
      <w:r w:rsidR="00133873" w:rsidRPr="00DF3C42">
        <w:rPr>
          <w:i/>
        </w:rPr>
        <w:t>privacy by design</w:t>
      </w:r>
      <w:r w:rsidR="00133873" w:rsidRPr="0029254E">
        <w:t xml:space="preserve">” approach through the implementation of appropriate technical and organizational measures to ensure by default only personal data which is necessary for each specific purpose is processed. This applies to the amount of </w:t>
      </w:r>
      <w:r w:rsidR="003E513C">
        <w:t>personal data</w:t>
      </w:r>
      <w:r w:rsidR="00133873" w:rsidRPr="0029254E">
        <w:t xml:space="preserve"> collected, the extent of its processing, the period of its storage and its accessibility.</w:t>
      </w:r>
    </w:p>
    <w:p w:rsidR="00C24EC8" w:rsidRPr="0029254E" w:rsidRDefault="00133873" w:rsidP="0029254E">
      <w:pPr>
        <w:pStyle w:val="ACLevel2"/>
      </w:pPr>
      <w:r w:rsidRPr="0029254E">
        <w:t xml:space="preserve">Statutory obligations under the GDPR and the local data protection laws place obligations on </w:t>
      </w:r>
      <w:r w:rsidR="003C2260">
        <w:t>Stafford Fuels</w:t>
      </w:r>
      <w:r w:rsidRPr="0029254E">
        <w:t xml:space="preserve"> to protect the privac</w:t>
      </w:r>
      <w:r w:rsidR="00F75000" w:rsidRPr="0029254E">
        <w:t>y of personal data under its con</w:t>
      </w:r>
      <w:r w:rsidRPr="0029254E">
        <w:t>trol.</w:t>
      </w:r>
    </w:p>
    <w:p w:rsidR="0049165D" w:rsidRPr="0029254E" w:rsidRDefault="00133873" w:rsidP="0029254E">
      <w:pPr>
        <w:pStyle w:val="ACLevel1"/>
      </w:pPr>
      <w:r w:rsidRPr="0029254E">
        <w:rPr>
          <w:rStyle w:val="ACLevel1asheadingtext"/>
        </w:rPr>
        <w:t xml:space="preserve">Use and </w:t>
      </w:r>
      <w:r w:rsidR="00DF3C42">
        <w:rPr>
          <w:rStyle w:val="ACLevel1asheadingtext"/>
        </w:rPr>
        <w:t>f</w:t>
      </w:r>
      <w:r w:rsidRPr="0029254E">
        <w:rPr>
          <w:rStyle w:val="ACLevel1asheadingtext"/>
        </w:rPr>
        <w:t>unctionality</w:t>
      </w:r>
      <w:r w:rsidR="0029254E">
        <w:rPr>
          <w:rStyle w:val="ACLevel1asheadingtext"/>
        </w:rPr>
        <w:t xml:space="preserve"> of [</w:t>
      </w:r>
      <w:r w:rsidR="0029254E" w:rsidRPr="00265C00">
        <w:rPr>
          <w:rStyle w:val="ACLevel1asheadingtext"/>
          <w:highlight w:val="yellow"/>
        </w:rPr>
        <w:t>System/Technology/Process</w:t>
      </w:r>
      <w:r w:rsidR="0029254E">
        <w:rPr>
          <w:rStyle w:val="ACLevel1asheadingtext"/>
        </w:rPr>
        <w:t>]</w:t>
      </w:r>
    </w:p>
    <w:p w:rsidR="006B7BF7" w:rsidRPr="0029254E" w:rsidRDefault="00133873" w:rsidP="0029254E">
      <w:pPr>
        <w:pStyle w:val="ACLevel2"/>
        <w:keepNext/>
      </w:pPr>
      <w:r w:rsidRPr="0029254E">
        <w:rPr>
          <w:rStyle w:val="ACLevel2asheadingtext"/>
        </w:rPr>
        <w:t xml:space="preserve"> [</w:t>
      </w:r>
      <w:r w:rsidRPr="00265C00">
        <w:rPr>
          <w:rStyle w:val="ACLevel2asheadingtext"/>
          <w:highlight w:val="yellow"/>
        </w:rPr>
        <w:t>Use/Proposed Use of System/Technology/Process</w:t>
      </w:r>
      <w:r w:rsidRPr="0029254E">
        <w:rPr>
          <w:rStyle w:val="ACLevel2asheadingtext"/>
        </w:rPr>
        <w:t>]</w:t>
      </w:r>
    </w:p>
    <w:p w:rsidR="00813A9D" w:rsidRPr="0029254E" w:rsidRDefault="00133873" w:rsidP="0029254E">
      <w:pPr>
        <w:pStyle w:val="ACBody2"/>
      </w:pPr>
      <w:r w:rsidRPr="00913426">
        <w:t>[</w:t>
      </w:r>
      <w:r w:rsidR="00490E5B" w:rsidRPr="00265C00">
        <w:rPr>
          <w:highlight w:val="yellow"/>
        </w:rPr>
        <w:t>I</w:t>
      </w:r>
      <w:r w:rsidRPr="00265C00">
        <w:rPr>
          <w:highlight w:val="yellow"/>
        </w:rPr>
        <w:t xml:space="preserve">nsert description of </w:t>
      </w:r>
      <w:r w:rsidRPr="006A6C7E">
        <w:rPr>
          <w:highlight w:val="yellow"/>
        </w:rPr>
        <w:t xml:space="preserve">how </w:t>
      </w:r>
      <w:r w:rsidR="003C2260">
        <w:rPr>
          <w:highlight w:val="yellow"/>
        </w:rPr>
        <w:t>Stafford Fuels</w:t>
      </w:r>
      <w:r w:rsidRPr="006A6C7E">
        <w:rPr>
          <w:highlight w:val="yellow"/>
        </w:rPr>
        <w:t xml:space="preserve"> uses or </w:t>
      </w:r>
      <w:r w:rsidRPr="00265C00">
        <w:rPr>
          <w:highlight w:val="yellow"/>
        </w:rPr>
        <w:t xml:space="preserve">proposes to use the relevant system/technology/process setting </w:t>
      </w:r>
      <w:r w:rsidRPr="00913426">
        <w:rPr>
          <w:highlight w:val="yellow"/>
        </w:rPr>
        <w:t>out the purposes for which the system/technology/process is being implemented]</w:t>
      </w:r>
    </w:p>
    <w:p w:rsidR="006B7BF7" w:rsidRPr="0029254E" w:rsidRDefault="00133873" w:rsidP="0029254E">
      <w:pPr>
        <w:pStyle w:val="ACLevel2"/>
        <w:keepNext/>
      </w:pPr>
      <w:r w:rsidRPr="0029254E">
        <w:rPr>
          <w:rStyle w:val="ACLevel2asheadingtext"/>
        </w:rPr>
        <w:t>Functionality</w:t>
      </w:r>
      <w:r w:rsidR="009A572E">
        <w:rPr>
          <w:rStyle w:val="ACLevel2asheadingtext"/>
        </w:rPr>
        <w:t>, n</w:t>
      </w:r>
      <w:r w:rsidR="009A572E" w:rsidRPr="0029254E">
        <w:rPr>
          <w:rStyle w:val="ACLevel2asheadingtext"/>
        </w:rPr>
        <w:t xml:space="preserve">ature </w:t>
      </w:r>
      <w:r w:rsidR="00DF3C42">
        <w:rPr>
          <w:rStyle w:val="ACLevel2asheadingtext"/>
        </w:rPr>
        <w:t>and s</w:t>
      </w:r>
      <w:r w:rsidRPr="0029254E">
        <w:rPr>
          <w:rStyle w:val="ACLevel2asheadingtext"/>
        </w:rPr>
        <w:t xml:space="preserve">cope of </w:t>
      </w:r>
      <w:r w:rsidR="003E513C">
        <w:rPr>
          <w:rStyle w:val="ACLevel2asheadingtext"/>
        </w:rPr>
        <w:t>personal data</w:t>
      </w:r>
      <w:r w:rsidRPr="0029254E">
        <w:rPr>
          <w:rStyle w:val="ACLevel2asheadingtext"/>
        </w:rPr>
        <w:t xml:space="preserve"> </w:t>
      </w:r>
      <w:r w:rsidR="00DF3C42">
        <w:rPr>
          <w:rStyle w:val="ACLevel2asheadingtext"/>
        </w:rPr>
        <w:t>c</w:t>
      </w:r>
      <w:r w:rsidRPr="0029254E">
        <w:rPr>
          <w:rStyle w:val="ACLevel2asheadingtext"/>
        </w:rPr>
        <w:t>ollected</w:t>
      </w:r>
    </w:p>
    <w:p w:rsidR="00D70903" w:rsidRPr="0029254E" w:rsidRDefault="00133873" w:rsidP="0029254E">
      <w:pPr>
        <w:pStyle w:val="ACBody2"/>
      </w:pPr>
      <w:r w:rsidRPr="00913426">
        <w:rPr>
          <w:highlight w:val="yellow"/>
        </w:rPr>
        <w:t xml:space="preserve">[If technology based, describe the functionality of the technology in terms of the scope and type of </w:t>
      </w:r>
      <w:r w:rsidR="003E513C">
        <w:rPr>
          <w:highlight w:val="yellow"/>
        </w:rPr>
        <w:t>personal data</w:t>
      </w:r>
      <w:r w:rsidRPr="00913426">
        <w:rPr>
          <w:highlight w:val="yellow"/>
        </w:rPr>
        <w:t xml:space="preserve"> it is set up to collect. If it is a new process, describe how and what </w:t>
      </w:r>
      <w:r w:rsidR="003E513C">
        <w:rPr>
          <w:highlight w:val="yellow"/>
        </w:rPr>
        <w:t>personal data</w:t>
      </w:r>
      <w:r w:rsidRPr="00913426">
        <w:rPr>
          <w:highlight w:val="yellow"/>
        </w:rPr>
        <w:t xml:space="preserve"> it will collect</w:t>
      </w:r>
      <w:r w:rsidR="00541668">
        <w:rPr>
          <w:highlight w:val="yellow"/>
        </w:rPr>
        <w:t xml:space="preserve">. </w:t>
      </w:r>
      <w:r w:rsidR="009A572E">
        <w:rPr>
          <w:highlight w:val="yellow"/>
        </w:rPr>
        <w:t xml:space="preserve">Describe </w:t>
      </w:r>
      <w:r w:rsidR="00541668">
        <w:rPr>
          <w:highlight w:val="yellow"/>
        </w:rPr>
        <w:t>the types of Special Categories of Personal Data</w:t>
      </w:r>
      <w:r w:rsidR="00541668">
        <w:rPr>
          <w:rStyle w:val="FootnoteReference"/>
          <w:highlight w:val="yellow"/>
        </w:rPr>
        <w:footnoteReference w:id="4"/>
      </w:r>
      <w:r w:rsidR="00541668">
        <w:rPr>
          <w:highlight w:val="yellow"/>
        </w:rPr>
        <w:t xml:space="preserve"> </w:t>
      </w:r>
      <w:r w:rsidR="009A572E">
        <w:rPr>
          <w:highlight w:val="yellow"/>
        </w:rPr>
        <w:t xml:space="preserve">(if any) </w:t>
      </w:r>
      <w:r w:rsidR="00541668">
        <w:rPr>
          <w:highlight w:val="yellow"/>
        </w:rPr>
        <w:t xml:space="preserve">which will be processed in the context of the </w:t>
      </w:r>
      <w:r w:rsidR="00541668" w:rsidRPr="00541668">
        <w:rPr>
          <w:rStyle w:val="ACLevel1asheadingtext"/>
          <w:b w:val="0"/>
        </w:rPr>
        <w:t>[</w:t>
      </w:r>
      <w:r w:rsidR="00541668">
        <w:rPr>
          <w:rStyle w:val="ACLevel1asheadingtext"/>
          <w:b w:val="0"/>
          <w:highlight w:val="yellow"/>
        </w:rPr>
        <w:t>system/technology/p</w:t>
      </w:r>
      <w:r w:rsidR="00541668" w:rsidRPr="00541668">
        <w:rPr>
          <w:rStyle w:val="ACLevel1asheadingtext"/>
          <w:b w:val="0"/>
          <w:highlight w:val="yellow"/>
        </w:rPr>
        <w:t>rocess</w:t>
      </w:r>
      <w:r w:rsidR="00541668" w:rsidRPr="00541668">
        <w:rPr>
          <w:rStyle w:val="ACLevel1asheadingtext"/>
          <w:b w:val="0"/>
        </w:rPr>
        <w:t>]</w:t>
      </w:r>
      <w:r w:rsidRPr="00265C00">
        <w:rPr>
          <w:b/>
          <w:highlight w:val="yellow"/>
        </w:rPr>
        <w:t>]</w:t>
      </w:r>
    </w:p>
    <w:p w:rsidR="001D5DBD" w:rsidRPr="0029254E" w:rsidRDefault="009A572E" w:rsidP="0029254E">
      <w:pPr>
        <w:pStyle w:val="ACLevel2"/>
        <w:keepNext/>
      </w:pPr>
      <w:r>
        <w:rPr>
          <w:rStyle w:val="ACLevel2asheadingtext"/>
        </w:rPr>
        <w:t>Data t</w:t>
      </w:r>
      <w:r w:rsidRPr="0029254E">
        <w:rPr>
          <w:rStyle w:val="ACLevel2asheadingtext"/>
        </w:rPr>
        <w:t>ransfers</w:t>
      </w:r>
    </w:p>
    <w:p w:rsidR="001D5DBD" w:rsidRPr="0029254E" w:rsidRDefault="00133873" w:rsidP="0029254E">
      <w:pPr>
        <w:pStyle w:val="ACBody2"/>
      </w:pPr>
      <w:r w:rsidRPr="00913426">
        <w:t>[</w:t>
      </w:r>
      <w:r w:rsidRPr="00913426">
        <w:rPr>
          <w:highlight w:val="yellow"/>
        </w:rPr>
        <w:t xml:space="preserve">Note whether this </w:t>
      </w:r>
      <w:r w:rsidR="003E513C">
        <w:rPr>
          <w:highlight w:val="yellow"/>
        </w:rPr>
        <w:t>personal data</w:t>
      </w:r>
      <w:r w:rsidRPr="00913426">
        <w:rPr>
          <w:highlight w:val="yellow"/>
        </w:rPr>
        <w:t xml:space="preserve"> is transferred or accessible from outside the EEA</w:t>
      </w:r>
      <w:r w:rsidRPr="00913426">
        <w:t xml:space="preserve">]. This transfer of </w:t>
      </w:r>
      <w:r w:rsidR="003E513C">
        <w:t>personal data</w:t>
      </w:r>
      <w:r w:rsidRPr="00913426">
        <w:t xml:space="preserve"> [</w:t>
      </w:r>
      <w:r w:rsidRPr="003E513C">
        <w:rPr>
          <w:highlight w:val="yellow"/>
        </w:rPr>
        <w:t>is/shall be</w:t>
      </w:r>
      <w:r w:rsidRPr="00913426">
        <w:t>] governed by [</w:t>
      </w:r>
      <w:r w:rsidRPr="00913426">
        <w:rPr>
          <w:highlight w:val="yellow"/>
        </w:rPr>
        <w:t>European Commission approved model contract clauses/insert description of relevant transfer mechanism</w:t>
      </w:r>
      <w:r w:rsidRPr="00913426">
        <w:t>].</w:t>
      </w:r>
    </w:p>
    <w:p w:rsidR="00556485" w:rsidRPr="0029254E" w:rsidRDefault="00133873" w:rsidP="0029254E">
      <w:pPr>
        <w:pStyle w:val="ACLevel1"/>
        <w:keepNext/>
      </w:pPr>
      <w:r w:rsidRPr="0029254E">
        <w:rPr>
          <w:rStyle w:val="ACLevel1asheadingtext"/>
        </w:rPr>
        <w:t>Data protection and privacy</w:t>
      </w:r>
    </w:p>
    <w:p w:rsidR="004A7610" w:rsidRPr="0029254E" w:rsidRDefault="00133873" w:rsidP="0029254E">
      <w:pPr>
        <w:pStyle w:val="ACLevel2"/>
      </w:pPr>
      <w:r w:rsidRPr="00913426">
        <w:t>This section of the document details the main data protection responsibilities relating to the [</w:t>
      </w:r>
      <w:r w:rsidRPr="00913426">
        <w:rPr>
          <w:highlight w:val="yellow"/>
        </w:rPr>
        <w:t>system/technology/process</w:t>
      </w:r>
      <w:r w:rsidRPr="00913426">
        <w:t>], and how the design and manner of operation of [</w:t>
      </w:r>
      <w:r w:rsidRPr="00DF3C42">
        <w:rPr>
          <w:highlight w:val="yellow"/>
        </w:rPr>
        <w:t>system/technology/process</w:t>
      </w:r>
      <w:r w:rsidRPr="00913426">
        <w:t xml:space="preserve">] mitigate the associated risks. Key risks are highlighted at the end of each section along with a description of the relevant mitigations. All such risks are risks to individuals, but may also, due to risks of non-compliance with relevant legislation, be corporate risks to </w:t>
      </w:r>
      <w:r w:rsidR="003C2260">
        <w:t>Stafford Fuels</w:t>
      </w:r>
      <w:r w:rsidRPr="00913426">
        <w:t>.</w:t>
      </w:r>
    </w:p>
    <w:p w:rsidR="00AB1DFD" w:rsidRPr="0029254E" w:rsidRDefault="00133873" w:rsidP="0029254E">
      <w:pPr>
        <w:pStyle w:val="ACLevel2"/>
      </w:pPr>
      <w:r w:rsidRPr="00913426">
        <w:lastRenderedPageBreak/>
        <w:t>[</w:t>
      </w:r>
      <w:r w:rsidRPr="00913426">
        <w:rPr>
          <w:highlight w:val="yellow"/>
        </w:rPr>
        <w:t xml:space="preserve">NOTE WHETHER THE RELEVANT TECHNOLOGY/SYSTEM/PROCESS IS ALREADY SUBJECT TO </w:t>
      </w:r>
      <w:r w:rsidRPr="006A6C7E">
        <w:rPr>
          <w:highlight w:val="yellow"/>
        </w:rPr>
        <w:t xml:space="preserve">RELEVANT </w:t>
      </w:r>
      <w:r w:rsidR="003C2260">
        <w:rPr>
          <w:highlight w:val="yellow"/>
        </w:rPr>
        <w:t>Stafford Fuels</w:t>
      </w:r>
      <w:r w:rsidR="00BC5E73" w:rsidRPr="006A6C7E">
        <w:rPr>
          <w:highlight w:val="yellow"/>
        </w:rPr>
        <w:t xml:space="preserve"> </w:t>
      </w:r>
      <w:r w:rsidR="00610BBA" w:rsidRPr="006A6C7E">
        <w:rPr>
          <w:highlight w:val="yellow"/>
        </w:rPr>
        <w:t>POLICY</w:t>
      </w:r>
      <w:r w:rsidRPr="006A6C7E">
        <w:rPr>
          <w:highlight w:val="yellow"/>
        </w:rPr>
        <w:t xml:space="preserve"> </w:t>
      </w:r>
      <w:r w:rsidRPr="00913426">
        <w:rPr>
          <w:highlight w:val="yellow"/>
        </w:rPr>
        <w:t xml:space="preserve">OR </w:t>
      </w:r>
      <w:r w:rsidRPr="00265C00">
        <w:rPr>
          <w:highlight w:val="yellow"/>
        </w:rPr>
        <w:t>PROCEDURE</w:t>
      </w:r>
      <w:r w:rsidR="009A572E" w:rsidRPr="00265C00">
        <w:rPr>
          <w:highlight w:val="yellow"/>
        </w:rPr>
        <w:t>.</w:t>
      </w:r>
      <w:r w:rsidRPr="00913426">
        <w:t>]</w:t>
      </w:r>
    </w:p>
    <w:p w:rsidR="00ED1F43" w:rsidRPr="00913426" w:rsidRDefault="00133873" w:rsidP="00133873">
      <w:pPr>
        <w:pStyle w:val="ACLevel1"/>
        <w:keepNext/>
      </w:pPr>
      <w:r w:rsidRPr="00133873">
        <w:rPr>
          <w:rStyle w:val="ACLevel1asheadingtext"/>
        </w:rPr>
        <w:t>Fair obtaining</w:t>
      </w:r>
    </w:p>
    <w:p w:rsidR="00BD4438" w:rsidRPr="0029254E" w:rsidRDefault="00133873" w:rsidP="0029254E">
      <w:pPr>
        <w:pStyle w:val="ACLevel2"/>
      </w:pPr>
      <w:r w:rsidRPr="00913426">
        <w:t>Fair processing of the personal data [</w:t>
      </w:r>
      <w:r w:rsidRPr="00913426">
        <w:rPr>
          <w:highlight w:val="yellow"/>
        </w:rPr>
        <w:t>being/to be</w:t>
      </w:r>
      <w:r w:rsidRPr="00913426">
        <w:t>] processed by [</w:t>
      </w:r>
      <w:r w:rsidRPr="00913426">
        <w:rPr>
          <w:highlight w:val="yellow"/>
        </w:rPr>
        <w:t>system/technology/process</w:t>
      </w:r>
      <w:r w:rsidRPr="00913426">
        <w:t>] is achieved by</w:t>
      </w:r>
      <w:r w:rsidR="0055207E">
        <w:rPr>
          <w:rStyle w:val="FootnoteReference"/>
        </w:rPr>
        <w:footnoteReference w:id="5"/>
      </w:r>
      <w:r w:rsidRPr="00913426">
        <w:t>:</w:t>
      </w:r>
    </w:p>
    <w:p w:rsidR="00D3516D" w:rsidRPr="0055207E" w:rsidRDefault="00610BBA" w:rsidP="0055207E">
      <w:pPr>
        <w:pStyle w:val="ACLevel3"/>
      </w:pPr>
      <w:r>
        <w:t>[</w:t>
      </w:r>
      <w:r w:rsidR="0055207E">
        <w:t>p</w:t>
      </w:r>
      <w:r w:rsidR="00133873" w:rsidRPr="0055207E">
        <w:t>ublishing information about its use on our [</w:t>
      </w:r>
      <w:r w:rsidR="00133873" w:rsidRPr="00DF3C42">
        <w:rPr>
          <w:highlight w:val="yellow"/>
        </w:rPr>
        <w:t>intranet</w:t>
      </w:r>
      <w:r w:rsidR="00133873" w:rsidRPr="0055207E">
        <w:t>]</w:t>
      </w:r>
      <w:r>
        <w:t>]</w:t>
      </w:r>
      <w:r w:rsidR="00133873" w:rsidRPr="0055207E">
        <w:t>;</w:t>
      </w:r>
    </w:p>
    <w:p w:rsidR="00D3516D" w:rsidRPr="0055207E" w:rsidRDefault="003C2260" w:rsidP="0055207E">
      <w:pPr>
        <w:pStyle w:val="ACLevel3"/>
      </w:pPr>
      <w:r>
        <w:t>Stafford Fuels</w:t>
      </w:r>
      <w:r w:rsidR="00133873" w:rsidRPr="0055207E">
        <w:t xml:space="preserve"> security policies (which include information on [</w:t>
      </w:r>
      <w:r w:rsidR="00133873" w:rsidRPr="00DF3C42">
        <w:rPr>
          <w:highlight w:val="yellow"/>
        </w:rPr>
        <w:t>system/technology/process</w:t>
      </w:r>
      <w:r w:rsidR="00133873" w:rsidRPr="0055207E">
        <w:t>]</w:t>
      </w:r>
      <w:r w:rsidR="009A572E">
        <w:t>)</w:t>
      </w:r>
      <w:r w:rsidR="00133873" w:rsidRPr="0055207E">
        <w:t xml:space="preserve"> are made available for all employees on the [</w:t>
      </w:r>
      <w:r w:rsidR="00133873" w:rsidRPr="00DF3C42">
        <w:rPr>
          <w:highlight w:val="yellow"/>
        </w:rPr>
        <w:t>intranet</w:t>
      </w:r>
      <w:r w:rsidR="00133873" w:rsidRPr="0055207E">
        <w:t>]</w:t>
      </w:r>
      <w:r w:rsidR="009A572E">
        <w:t>;</w:t>
      </w:r>
    </w:p>
    <w:p w:rsidR="00D3516D" w:rsidRPr="0055207E" w:rsidRDefault="00610BBA" w:rsidP="0055207E">
      <w:pPr>
        <w:pStyle w:val="ACLevel3"/>
      </w:pPr>
      <w:r>
        <w:t>[</w:t>
      </w:r>
      <w:r w:rsidR="003C2260">
        <w:t>Stafford Fuels</w:t>
      </w:r>
      <w:r w:rsidR="00133873" w:rsidRPr="0055207E">
        <w:t xml:space="preserve"> employment contracts include a data protection clause explaining when and how </w:t>
      </w:r>
      <w:r w:rsidR="003C2260">
        <w:t>Stafford Fuels</w:t>
      </w:r>
      <w:r w:rsidR="00133873" w:rsidRPr="0055207E">
        <w:t xml:space="preserve"> processes </w:t>
      </w:r>
      <w:r w:rsidR="003E513C">
        <w:t>personal data</w:t>
      </w:r>
      <w:r w:rsidR="00133873" w:rsidRPr="0055207E">
        <w:t xml:space="preserve"> and the [</w:t>
      </w:r>
      <w:r w:rsidR="00133873" w:rsidRPr="0055207E">
        <w:rPr>
          <w:highlight w:val="yellow"/>
        </w:rPr>
        <w:t>system/technology/process</w:t>
      </w:r>
      <w:r w:rsidR="00133873" w:rsidRPr="0055207E">
        <w:t>] is within scope</w:t>
      </w:r>
      <w:r w:rsidR="009A572E">
        <w:t xml:space="preserve"> of such clause</w:t>
      </w:r>
      <w:r>
        <w:t>]</w:t>
      </w:r>
      <w:r w:rsidR="009A572E">
        <w:t>; and/or</w:t>
      </w:r>
    </w:p>
    <w:p w:rsidR="006F1D0D" w:rsidRPr="00A57ACB" w:rsidRDefault="00610BBA" w:rsidP="00A57ACB">
      <w:pPr>
        <w:pStyle w:val="ACLevel3"/>
      </w:pPr>
      <w:r>
        <w:t>[</w:t>
      </w:r>
      <w:r w:rsidR="009A572E">
        <w:t>o</w:t>
      </w:r>
      <w:r w:rsidR="009A572E" w:rsidRPr="0055207E">
        <w:t xml:space="preserve">ther </w:t>
      </w:r>
      <w:r w:rsidR="00133873" w:rsidRPr="0055207E">
        <w:t>individual</w:t>
      </w:r>
      <w:r>
        <w:t xml:space="preserve"> customers and individual</w:t>
      </w:r>
      <w:r w:rsidR="00133873" w:rsidRPr="0055207E">
        <w:t xml:space="preserve"> third parties are informed through [</w:t>
      </w:r>
      <w:r w:rsidR="003C2260">
        <w:rPr>
          <w:highlight w:val="yellow"/>
        </w:rPr>
        <w:t>Stafford Fuels</w:t>
      </w:r>
      <w:r w:rsidR="00133873" w:rsidRPr="006A6C7E">
        <w:rPr>
          <w:highlight w:val="yellow"/>
        </w:rPr>
        <w:t xml:space="preserve"> contracts</w:t>
      </w:r>
      <w:r w:rsidR="00133873" w:rsidRPr="0055207E">
        <w:rPr>
          <w:highlight w:val="yellow"/>
        </w:rPr>
        <w:t>/policies/terms and conditions etc.]</w:t>
      </w:r>
    </w:p>
    <w:tbl>
      <w:tblPr>
        <w:tblStyle w:val="TableGrid"/>
        <w:tblW w:w="4256" w:type="pct"/>
        <w:jc w:val="center"/>
        <w:tblLook w:val="04A0" w:firstRow="1" w:lastRow="0" w:firstColumn="1" w:lastColumn="0" w:noHBand="0" w:noVBand="1"/>
      </w:tblPr>
      <w:tblGrid>
        <w:gridCol w:w="2718"/>
        <w:gridCol w:w="5149"/>
      </w:tblGrid>
      <w:tr w:rsidR="009B59F8" w:rsidRPr="00913426" w:rsidTr="00265C00">
        <w:trPr>
          <w:trHeight w:val="389"/>
          <w:jc w:val="center"/>
        </w:trPr>
        <w:tc>
          <w:tcPr>
            <w:tcW w:w="2718" w:type="dxa"/>
            <w:shd w:val="clear" w:color="auto" w:fill="FDE9D9" w:themeFill="accent6" w:themeFillTint="33"/>
          </w:tcPr>
          <w:p w:rsidR="009B59F8" w:rsidRPr="00DF3C42" w:rsidRDefault="009B59F8" w:rsidP="00DF3C42">
            <w:pPr>
              <w:pStyle w:val="Body"/>
              <w:jc w:val="center"/>
              <w:rPr>
                <w:b/>
              </w:rPr>
            </w:pPr>
            <w:r w:rsidRPr="00DF3C42">
              <w:rPr>
                <w:b/>
              </w:rPr>
              <w:t xml:space="preserve">Key </w:t>
            </w:r>
            <w:r w:rsidR="002625D7" w:rsidRPr="00DF3C42">
              <w:rPr>
                <w:b/>
              </w:rPr>
              <w:t>r</w:t>
            </w:r>
            <w:r w:rsidRPr="00DF3C42">
              <w:rPr>
                <w:b/>
              </w:rPr>
              <w:t>isks</w:t>
            </w:r>
            <w:r w:rsidR="002625D7" w:rsidRPr="00DF3C42">
              <w:rPr>
                <w:b/>
              </w:rPr>
              <w:t xml:space="preserve"> relating to fair obtaining</w:t>
            </w:r>
          </w:p>
        </w:tc>
        <w:tc>
          <w:tcPr>
            <w:tcW w:w="5149" w:type="dxa"/>
            <w:shd w:val="clear" w:color="auto" w:fill="FDE9D9" w:themeFill="accent6" w:themeFillTint="33"/>
          </w:tcPr>
          <w:p w:rsidR="009B59F8" w:rsidRPr="00DF3C42" w:rsidRDefault="009B59F8" w:rsidP="00DF3C42">
            <w:pPr>
              <w:jc w:val="center"/>
              <w:rPr>
                <w:b/>
              </w:rPr>
            </w:pPr>
            <w:r w:rsidRPr="00DF3C42">
              <w:rPr>
                <w:b/>
              </w:rPr>
              <w:t>Mitigation</w:t>
            </w:r>
          </w:p>
          <w:p w:rsidR="00917A74" w:rsidRPr="00DF3C42" w:rsidRDefault="00917A74" w:rsidP="00DF3C42">
            <w:pPr>
              <w:jc w:val="center"/>
              <w:rPr>
                <w:b/>
              </w:rPr>
            </w:pPr>
          </w:p>
        </w:tc>
      </w:tr>
      <w:tr w:rsidR="009B59F8" w:rsidRPr="00913426" w:rsidTr="00265C00">
        <w:trPr>
          <w:jc w:val="center"/>
        </w:trPr>
        <w:tc>
          <w:tcPr>
            <w:tcW w:w="2718" w:type="dxa"/>
            <w:shd w:val="clear" w:color="auto" w:fill="FDE9D9" w:themeFill="accent6" w:themeFillTint="33"/>
          </w:tcPr>
          <w:p w:rsidR="009B59F8" w:rsidRDefault="00EC3683" w:rsidP="00913426">
            <w:pPr>
              <w:rPr>
                <w:highlight w:val="yellow"/>
              </w:rPr>
            </w:pPr>
            <w:r w:rsidRPr="00913426">
              <w:rPr>
                <w:highlight w:val="yellow"/>
              </w:rPr>
              <w:t xml:space="preserve">[e.g.is there a risk that an individual would not be aware of how his/her </w:t>
            </w:r>
            <w:r w:rsidR="003E513C">
              <w:rPr>
                <w:highlight w:val="yellow"/>
              </w:rPr>
              <w:t>personal data</w:t>
            </w:r>
            <w:r w:rsidRPr="00913426">
              <w:rPr>
                <w:highlight w:val="yellow"/>
              </w:rPr>
              <w:t xml:space="preserve"> is being used]</w:t>
            </w:r>
          </w:p>
          <w:p w:rsidR="00A57ACB" w:rsidRPr="00913426" w:rsidRDefault="00A57ACB" w:rsidP="00913426">
            <w:pPr>
              <w:rPr>
                <w:highlight w:val="yellow"/>
              </w:rPr>
            </w:pPr>
          </w:p>
        </w:tc>
        <w:tc>
          <w:tcPr>
            <w:tcW w:w="5149" w:type="dxa"/>
            <w:shd w:val="clear" w:color="auto" w:fill="FDE9D9" w:themeFill="accent6" w:themeFillTint="33"/>
          </w:tcPr>
          <w:p w:rsidR="009B59F8" w:rsidRPr="00913426" w:rsidRDefault="00DF3C42" w:rsidP="00265C00">
            <w:pPr>
              <w:rPr>
                <w:highlight w:val="yellow"/>
              </w:rPr>
            </w:pPr>
            <w:r>
              <w:rPr>
                <w:highlight w:val="yellow"/>
              </w:rPr>
              <w:t>[</w:t>
            </w:r>
            <w:r w:rsidR="00EC3683" w:rsidRPr="00913426">
              <w:rPr>
                <w:highlight w:val="yellow"/>
              </w:rPr>
              <w:t xml:space="preserve">Explain how relevant measures </w:t>
            </w:r>
            <w:r w:rsidR="009A572E">
              <w:rPr>
                <w:highlight w:val="yellow"/>
              </w:rPr>
              <w:t>taken to achieve fair processing and to mitigate</w:t>
            </w:r>
            <w:r w:rsidR="00EC3683" w:rsidRPr="00913426">
              <w:rPr>
                <w:highlight w:val="yellow"/>
              </w:rPr>
              <w:t xml:space="preserve"> this risk]. </w:t>
            </w:r>
          </w:p>
        </w:tc>
      </w:tr>
    </w:tbl>
    <w:p w:rsidR="009B59F8" w:rsidRPr="00913426" w:rsidRDefault="009B59F8" w:rsidP="00913426"/>
    <w:p w:rsidR="001A7F67" w:rsidRPr="00913426" w:rsidRDefault="00133873" w:rsidP="00133873">
      <w:pPr>
        <w:pStyle w:val="ACLevel1"/>
        <w:keepNext/>
      </w:pPr>
      <w:r w:rsidRPr="00133873">
        <w:rPr>
          <w:rStyle w:val="ACLevel1asheadingtext"/>
        </w:rPr>
        <w:t xml:space="preserve">Purpose of collected </w:t>
      </w:r>
      <w:r w:rsidR="003E513C">
        <w:rPr>
          <w:rStyle w:val="ACLevel1asheadingtext"/>
        </w:rPr>
        <w:t>and</w:t>
      </w:r>
      <w:r w:rsidRPr="00133873">
        <w:rPr>
          <w:rStyle w:val="ACLevel1asheadingtext"/>
        </w:rPr>
        <w:t xml:space="preserve"> shared </w:t>
      </w:r>
      <w:r w:rsidR="003E513C">
        <w:rPr>
          <w:rStyle w:val="ACLevel1asheadingtext"/>
        </w:rPr>
        <w:t>personal data</w:t>
      </w:r>
    </w:p>
    <w:p w:rsidR="00917A74" w:rsidRPr="00913426" w:rsidRDefault="00133873" w:rsidP="00DF3C42">
      <w:pPr>
        <w:pStyle w:val="Body"/>
        <w:ind w:left="720"/>
      </w:pPr>
      <w:r w:rsidRPr="00913426">
        <w:t>The main purposes of [</w:t>
      </w:r>
      <w:r w:rsidRPr="00913426">
        <w:rPr>
          <w:highlight w:val="yellow"/>
        </w:rPr>
        <w:t>system/technology/process</w:t>
      </w:r>
      <w:r w:rsidRPr="00913426">
        <w:t>] are as follows:</w:t>
      </w:r>
    </w:p>
    <w:p w:rsidR="006F1D0D" w:rsidRPr="00A57ACB" w:rsidRDefault="00133873" w:rsidP="00A57ACB">
      <w:pPr>
        <w:pStyle w:val="ACBulletLv2"/>
      </w:pPr>
      <w:r w:rsidRPr="00913426">
        <w:t>[</w:t>
      </w:r>
      <w:r w:rsidRPr="00913426">
        <w:rPr>
          <w:highlight w:val="yellow"/>
        </w:rPr>
        <w:t>explain purposes</w:t>
      </w:r>
      <w:r w:rsidRPr="00913426">
        <w:t>]</w:t>
      </w:r>
    </w:p>
    <w:tbl>
      <w:tblPr>
        <w:tblStyle w:val="TableGrid"/>
        <w:tblW w:w="4308" w:type="pct"/>
        <w:jc w:val="center"/>
        <w:tblLook w:val="04A0" w:firstRow="1" w:lastRow="0" w:firstColumn="1" w:lastColumn="0" w:noHBand="0" w:noVBand="1"/>
      </w:tblPr>
      <w:tblGrid>
        <w:gridCol w:w="3848"/>
        <w:gridCol w:w="4115"/>
      </w:tblGrid>
      <w:tr w:rsidR="009B59F8" w:rsidRPr="00913426" w:rsidTr="0055484B">
        <w:trPr>
          <w:cantSplit/>
          <w:jc w:val="center"/>
        </w:trPr>
        <w:tc>
          <w:tcPr>
            <w:tcW w:w="3848" w:type="dxa"/>
            <w:shd w:val="clear" w:color="auto" w:fill="FDE9D9" w:themeFill="accent6" w:themeFillTint="33"/>
          </w:tcPr>
          <w:p w:rsidR="009B59F8" w:rsidRPr="00913426" w:rsidRDefault="009B59F8" w:rsidP="00913426">
            <w:pPr>
              <w:jc w:val="center"/>
              <w:rPr>
                <w:b/>
              </w:rPr>
            </w:pPr>
            <w:r w:rsidRPr="00913426">
              <w:rPr>
                <w:b/>
              </w:rPr>
              <w:t xml:space="preserve">Key </w:t>
            </w:r>
            <w:r w:rsidR="002625D7" w:rsidRPr="00913426">
              <w:rPr>
                <w:b/>
              </w:rPr>
              <w:t>r</w:t>
            </w:r>
            <w:r w:rsidRPr="00913426">
              <w:rPr>
                <w:b/>
              </w:rPr>
              <w:t>isks</w:t>
            </w:r>
            <w:r w:rsidR="002625D7" w:rsidRPr="00913426">
              <w:rPr>
                <w:b/>
              </w:rPr>
              <w:t xml:space="preserve"> relating to purpose</w:t>
            </w:r>
            <w:r w:rsidR="00EC3683" w:rsidRPr="00913426">
              <w:rPr>
                <w:rStyle w:val="FootnoteReference"/>
                <w:b/>
              </w:rPr>
              <w:footnoteReference w:id="6"/>
            </w:r>
          </w:p>
        </w:tc>
        <w:tc>
          <w:tcPr>
            <w:tcW w:w="4115" w:type="dxa"/>
            <w:shd w:val="clear" w:color="auto" w:fill="FDE9D9" w:themeFill="accent6" w:themeFillTint="33"/>
          </w:tcPr>
          <w:p w:rsidR="009B59F8" w:rsidRDefault="009B59F8" w:rsidP="00913426">
            <w:pPr>
              <w:jc w:val="center"/>
              <w:rPr>
                <w:b/>
              </w:rPr>
            </w:pPr>
            <w:r w:rsidRPr="00913426">
              <w:rPr>
                <w:b/>
              </w:rPr>
              <w:t>Mitigation</w:t>
            </w:r>
          </w:p>
          <w:p w:rsidR="0055484B" w:rsidRPr="00913426" w:rsidRDefault="0055484B" w:rsidP="00913426">
            <w:pPr>
              <w:jc w:val="center"/>
              <w:rPr>
                <w:b/>
              </w:rPr>
            </w:pPr>
          </w:p>
        </w:tc>
      </w:tr>
      <w:tr w:rsidR="009B59F8" w:rsidRPr="00913426" w:rsidTr="0055484B">
        <w:trPr>
          <w:jc w:val="center"/>
        </w:trPr>
        <w:tc>
          <w:tcPr>
            <w:tcW w:w="3848" w:type="dxa"/>
            <w:shd w:val="clear" w:color="auto" w:fill="FDE9D9" w:themeFill="accent6" w:themeFillTint="33"/>
          </w:tcPr>
          <w:p w:rsidR="009B59F8" w:rsidRDefault="00917A74" w:rsidP="00A57ACB">
            <w:pPr>
              <w:jc w:val="left"/>
            </w:pPr>
            <w:r w:rsidRPr="00913426">
              <w:t xml:space="preserve">It is possible that </w:t>
            </w:r>
            <w:r w:rsidR="003E513C">
              <w:t>personal data</w:t>
            </w:r>
            <w:r w:rsidRPr="00913426">
              <w:t xml:space="preserve"> will be captured </w:t>
            </w:r>
            <w:r w:rsidR="00EC3683" w:rsidRPr="00913426">
              <w:t>through</w:t>
            </w:r>
            <w:r w:rsidRPr="00913426">
              <w:t xml:space="preserve"> the </w:t>
            </w:r>
            <w:r w:rsidR="00EC3683" w:rsidRPr="00913426">
              <w:t>[</w:t>
            </w:r>
            <w:r w:rsidR="00EC3683" w:rsidRPr="00913426">
              <w:rPr>
                <w:highlight w:val="yellow"/>
              </w:rPr>
              <w:t>system</w:t>
            </w:r>
            <w:r w:rsidR="00A57ACB">
              <w:rPr>
                <w:highlight w:val="yellow"/>
              </w:rPr>
              <w:t xml:space="preserve"> </w:t>
            </w:r>
            <w:r w:rsidR="00EC3683" w:rsidRPr="00913426">
              <w:rPr>
                <w:highlight w:val="yellow"/>
              </w:rPr>
              <w:t>/</w:t>
            </w:r>
            <w:r w:rsidR="00A57ACB">
              <w:rPr>
                <w:highlight w:val="yellow"/>
              </w:rPr>
              <w:t xml:space="preserve"> </w:t>
            </w:r>
            <w:r w:rsidR="00EC3683" w:rsidRPr="00913426">
              <w:rPr>
                <w:highlight w:val="yellow"/>
              </w:rPr>
              <w:t>technology</w:t>
            </w:r>
            <w:r w:rsidR="00A57ACB">
              <w:rPr>
                <w:highlight w:val="yellow"/>
              </w:rPr>
              <w:t xml:space="preserve"> </w:t>
            </w:r>
            <w:r w:rsidR="00EC3683" w:rsidRPr="00913426">
              <w:rPr>
                <w:highlight w:val="yellow"/>
              </w:rPr>
              <w:t>/</w:t>
            </w:r>
            <w:r w:rsidR="00A57ACB">
              <w:rPr>
                <w:highlight w:val="yellow"/>
              </w:rPr>
              <w:t xml:space="preserve"> </w:t>
            </w:r>
            <w:r w:rsidR="00EC3683" w:rsidRPr="00913426">
              <w:rPr>
                <w:highlight w:val="yellow"/>
              </w:rPr>
              <w:t>process</w:t>
            </w:r>
            <w:r w:rsidR="00EC3683" w:rsidRPr="00913426">
              <w:t>]</w:t>
            </w:r>
            <w:r w:rsidRPr="00913426">
              <w:t xml:space="preserve"> which</w:t>
            </w:r>
            <w:r w:rsidR="0055484B">
              <w:t xml:space="preserve"> </w:t>
            </w:r>
            <w:r w:rsidR="003E513C">
              <w:t>personal data</w:t>
            </w:r>
            <w:r w:rsidRPr="00913426">
              <w:t xml:space="preserve"> </w:t>
            </w:r>
            <w:r w:rsidR="00EC3683" w:rsidRPr="00913426">
              <w:t>i</w:t>
            </w:r>
            <w:r w:rsidRPr="00913426">
              <w:t>s ultimately not relevant to achieving the above purposes.</w:t>
            </w:r>
          </w:p>
          <w:p w:rsidR="00A57ACB" w:rsidRPr="00913426" w:rsidRDefault="00A57ACB" w:rsidP="00913426"/>
        </w:tc>
        <w:tc>
          <w:tcPr>
            <w:tcW w:w="4115" w:type="dxa"/>
            <w:shd w:val="clear" w:color="auto" w:fill="FDE9D9" w:themeFill="accent6" w:themeFillTint="33"/>
          </w:tcPr>
          <w:p w:rsidR="009B59F8" w:rsidRPr="00913426" w:rsidRDefault="00EC3683" w:rsidP="00913426">
            <w:r w:rsidRPr="00913426">
              <w:t>[</w:t>
            </w:r>
            <w:r w:rsidR="0055484B">
              <w:rPr>
                <w:highlight w:val="yellow"/>
              </w:rPr>
              <w:t>E</w:t>
            </w:r>
            <w:r w:rsidRPr="0055207E">
              <w:rPr>
                <w:highlight w:val="yellow"/>
              </w:rPr>
              <w:t xml:space="preserve">xplain extent of access to </w:t>
            </w:r>
            <w:r w:rsidR="003E513C">
              <w:rPr>
                <w:highlight w:val="yellow"/>
              </w:rPr>
              <w:t>personal data</w:t>
            </w:r>
            <w:r w:rsidRPr="0055207E">
              <w:rPr>
                <w:highlight w:val="yellow"/>
              </w:rPr>
              <w:t xml:space="preserve">, how long it is retained, how irrelevant </w:t>
            </w:r>
            <w:r w:rsidR="003E513C">
              <w:rPr>
                <w:highlight w:val="yellow"/>
              </w:rPr>
              <w:t>personal data</w:t>
            </w:r>
            <w:r w:rsidRPr="0055207E">
              <w:rPr>
                <w:highlight w:val="yellow"/>
              </w:rPr>
              <w:t xml:space="preserve"> is deleted</w:t>
            </w:r>
            <w:r w:rsidR="009A572E">
              <w:rPr>
                <w:highlight w:val="yellow"/>
              </w:rPr>
              <w:t>,</w:t>
            </w:r>
            <w:r w:rsidRPr="0055207E">
              <w:rPr>
                <w:highlight w:val="yellow"/>
              </w:rPr>
              <w:t xml:space="preserve"> etc.]</w:t>
            </w:r>
          </w:p>
          <w:p w:rsidR="00D3516D" w:rsidRPr="00913426" w:rsidRDefault="00D3516D" w:rsidP="00913426"/>
          <w:p w:rsidR="00D3516D" w:rsidRPr="00913426" w:rsidRDefault="00D3516D" w:rsidP="00913426"/>
        </w:tc>
      </w:tr>
    </w:tbl>
    <w:p w:rsidR="009B59F8" w:rsidRPr="00913426" w:rsidRDefault="009B59F8" w:rsidP="00913426"/>
    <w:p w:rsidR="00ED1F43" w:rsidRPr="00913426" w:rsidRDefault="00133873" w:rsidP="00133873">
      <w:pPr>
        <w:pStyle w:val="ACLevel1"/>
        <w:keepNext/>
      </w:pPr>
      <w:r w:rsidRPr="00133873">
        <w:rPr>
          <w:rStyle w:val="ACLevel1asheadingtext"/>
        </w:rPr>
        <w:t>Use and disclosure of information</w:t>
      </w:r>
    </w:p>
    <w:p w:rsidR="00E0654C" w:rsidRPr="0057164F" w:rsidRDefault="00133873" w:rsidP="0057164F">
      <w:pPr>
        <w:pStyle w:val="ACLevel2"/>
      </w:pPr>
      <w:r w:rsidRPr="0057164F">
        <w:t>As a general rule, access to any personal data is limited to a [</w:t>
      </w:r>
      <w:r w:rsidRPr="0057164F">
        <w:rPr>
          <w:highlight w:val="yellow"/>
        </w:rPr>
        <w:t>small number of individuals</w:t>
      </w:r>
      <w:r w:rsidR="0057164F">
        <w:t>]</w:t>
      </w:r>
      <w:r w:rsidRPr="0057164F">
        <w:t xml:space="preserve"> in a [</w:t>
      </w:r>
      <w:r w:rsidRPr="0057164F">
        <w:rPr>
          <w:highlight w:val="yellow"/>
        </w:rPr>
        <w:t>specific office/company</w:t>
      </w:r>
      <w:r w:rsidRPr="0057164F">
        <w:t>] who have the requisite level of clearance. [</w:t>
      </w:r>
      <w:r w:rsidRPr="0057164F">
        <w:rPr>
          <w:highlight w:val="yellow"/>
        </w:rPr>
        <w:t>Personal data is not shared with any third parties</w:t>
      </w:r>
      <w:r w:rsidRPr="0057164F">
        <w:t>].</w:t>
      </w:r>
    </w:p>
    <w:p w:rsidR="006F1D0D" w:rsidRPr="00A57ACB" w:rsidRDefault="00133873" w:rsidP="00A57ACB">
      <w:pPr>
        <w:pStyle w:val="ACLevel2"/>
      </w:pPr>
      <w:r w:rsidRPr="0057164F">
        <w:lastRenderedPageBreak/>
        <w:t>[</w:t>
      </w:r>
      <w:r w:rsidR="00BC7769">
        <w:rPr>
          <w:highlight w:val="yellow"/>
        </w:rPr>
        <w:t>N</w:t>
      </w:r>
      <w:r w:rsidRPr="0057164F">
        <w:rPr>
          <w:highlight w:val="yellow"/>
        </w:rPr>
        <w:t xml:space="preserve">ote any </w:t>
      </w:r>
      <w:r w:rsidR="009A572E" w:rsidRPr="0057164F">
        <w:rPr>
          <w:highlight w:val="yellow"/>
        </w:rPr>
        <w:t>risks from a law enforcement perspective e.g. are</w:t>
      </w:r>
      <w:r w:rsidRPr="0057164F">
        <w:rPr>
          <w:highlight w:val="yellow"/>
        </w:rPr>
        <w:t xml:space="preserve"> there any legislation that could require the disclosure of the </w:t>
      </w:r>
      <w:r w:rsidR="003E513C">
        <w:rPr>
          <w:highlight w:val="yellow"/>
        </w:rPr>
        <w:t>personal data</w:t>
      </w:r>
      <w:r w:rsidRPr="0057164F">
        <w:rPr>
          <w:highlight w:val="yellow"/>
        </w:rPr>
        <w:t xml:space="preserve"> to law enforcement officials/regulators</w:t>
      </w:r>
      <w:r w:rsidR="009A572E">
        <w:rPr>
          <w:highlight w:val="yellow"/>
        </w:rPr>
        <w:t>,</w:t>
      </w:r>
      <w:r w:rsidRPr="0057164F">
        <w:rPr>
          <w:highlight w:val="yellow"/>
        </w:rPr>
        <w:t xml:space="preserve"> etc.</w:t>
      </w:r>
      <w:r w:rsidR="009A572E">
        <w:rPr>
          <w:highlight w:val="yellow"/>
        </w:rPr>
        <w:t>?</w:t>
      </w:r>
      <w:r w:rsidRPr="0057164F">
        <w:rPr>
          <w:highlight w:val="yellow"/>
        </w:rPr>
        <w:t>]</w:t>
      </w:r>
    </w:p>
    <w:tbl>
      <w:tblPr>
        <w:tblStyle w:val="TableGrid"/>
        <w:tblW w:w="4385" w:type="pct"/>
        <w:jc w:val="center"/>
        <w:tblLook w:val="04A0" w:firstRow="1" w:lastRow="0" w:firstColumn="1" w:lastColumn="0" w:noHBand="0" w:noVBand="1"/>
      </w:tblPr>
      <w:tblGrid>
        <w:gridCol w:w="3961"/>
        <w:gridCol w:w="4144"/>
      </w:tblGrid>
      <w:tr w:rsidR="009B59F8" w:rsidRPr="00913426" w:rsidTr="0055484B">
        <w:trPr>
          <w:jc w:val="center"/>
        </w:trPr>
        <w:tc>
          <w:tcPr>
            <w:tcW w:w="3961" w:type="dxa"/>
            <w:shd w:val="clear" w:color="auto" w:fill="FDE9D9" w:themeFill="accent6" w:themeFillTint="33"/>
          </w:tcPr>
          <w:p w:rsidR="009B59F8" w:rsidRDefault="009B59F8" w:rsidP="0055484B">
            <w:pPr>
              <w:jc w:val="center"/>
              <w:rPr>
                <w:b/>
              </w:rPr>
            </w:pPr>
            <w:r w:rsidRPr="00913426">
              <w:rPr>
                <w:b/>
              </w:rPr>
              <w:t xml:space="preserve">Key </w:t>
            </w:r>
            <w:r w:rsidR="006F1D0D" w:rsidRPr="00913426">
              <w:rPr>
                <w:b/>
              </w:rPr>
              <w:t>r</w:t>
            </w:r>
            <w:r w:rsidRPr="00913426">
              <w:rPr>
                <w:b/>
              </w:rPr>
              <w:t>isks</w:t>
            </w:r>
            <w:r w:rsidR="006F1D0D" w:rsidRPr="00913426">
              <w:rPr>
                <w:b/>
              </w:rPr>
              <w:t xml:space="preserve"> relating to use </w:t>
            </w:r>
            <w:r w:rsidR="0055484B">
              <w:rPr>
                <w:b/>
              </w:rPr>
              <w:t>and</w:t>
            </w:r>
            <w:r w:rsidR="006F1D0D" w:rsidRPr="00913426">
              <w:rPr>
                <w:b/>
              </w:rPr>
              <w:t xml:space="preserve"> disclosure</w:t>
            </w:r>
          </w:p>
          <w:p w:rsidR="0055484B" w:rsidRPr="00913426" w:rsidRDefault="0055484B" w:rsidP="0055484B">
            <w:pPr>
              <w:jc w:val="center"/>
              <w:rPr>
                <w:b/>
              </w:rPr>
            </w:pPr>
          </w:p>
        </w:tc>
        <w:tc>
          <w:tcPr>
            <w:tcW w:w="4144" w:type="dxa"/>
            <w:shd w:val="clear" w:color="auto" w:fill="FDE9D9" w:themeFill="accent6" w:themeFillTint="33"/>
          </w:tcPr>
          <w:p w:rsidR="009B59F8" w:rsidRPr="00913426" w:rsidRDefault="009B59F8" w:rsidP="00913426">
            <w:pPr>
              <w:jc w:val="center"/>
              <w:rPr>
                <w:b/>
              </w:rPr>
            </w:pPr>
            <w:r w:rsidRPr="00913426">
              <w:rPr>
                <w:b/>
              </w:rPr>
              <w:t>Mitigation</w:t>
            </w:r>
          </w:p>
        </w:tc>
      </w:tr>
      <w:tr w:rsidR="009B59F8" w:rsidRPr="00913426" w:rsidTr="00A57ACB">
        <w:trPr>
          <w:trHeight w:val="983"/>
          <w:jc w:val="center"/>
        </w:trPr>
        <w:tc>
          <w:tcPr>
            <w:tcW w:w="3961" w:type="dxa"/>
            <w:shd w:val="clear" w:color="auto" w:fill="FDE9D9" w:themeFill="accent6" w:themeFillTint="33"/>
          </w:tcPr>
          <w:p w:rsidR="009B59F8" w:rsidRPr="00913426" w:rsidRDefault="00A07998" w:rsidP="00913426">
            <w:r w:rsidRPr="00913426">
              <w:t xml:space="preserve">Personal data </w:t>
            </w:r>
            <w:r w:rsidR="00420E46" w:rsidRPr="00913426">
              <w:t>might be leaked if there was a data breach</w:t>
            </w:r>
            <w:r w:rsidR="007F39B2" w:rsidRPr="00913426">
              <w:t xml:space="preserve"> or hack</w:t>
            </w:r>
            <w:r w:rsidR="00420E46" w:rsidRPr="00913426">
              <w:t xml:space="preserve"> of some kind.</w:t>
            </w:r>
          </w:p>
        </w:tc>
        <w:tc>
          <w:tcPr>
            <w:tcW w:w="4144" w:type="dxa"/>
            <w:shd w:val="clear" w:color="auto" w:fill="FDE9D9" w:themeFill="accent6" w:themeFillTint="33"/>
          </w:tcPr>
          <w:p w:rsidR="009B59F8" w:rsidRPr="00913426" w:rsidRDefault="00A07998" w:rsidP="0055484B">
            <w:r w:rsidRPr="00913426">
              <w:t>[</w:t>
            </w:r>
            <w:r w:rsidR="0055484B">
              <w:rPr>
                <w:highlight w:val="yellow"/>
              </w:rPr>
              <w:t>I</w:t>
            </w:r>
            <w:r w:rsidRPr="00913426">
              <w:rPr>
                <w:highlight w:val="yellow"/>
              </w:rPr>
              <w:t>nsert security measures explaining how such breaches are guarded against e.g. state of the art security</w:t>
            </w:r>
            <w:r w:rsidR="0055484B">
              <w:rPr>
                <w:highlight w:val="yellow"/>
              </w:rPr>
              <w:t>,</w:t>
            </w:r>
            <w:r w:rsidRPr="00913426">
              <w:rPr>
                <w:highlight w:val="yellow"/>
              </w:rPr>
              <w:t xml:space="preserve"> etc</w:t>
            </w:r>
            <w:r w:rsidRPr="00913426">
              <w:t>.]</w:t>
            </w:r>
          </w:p>
        </w:tc>
      </w:tr>
    </w:tbl>
    <w:p w:rsidR="00BB60CD" w:rsidRPr="00913426" w:rsidRDefault="00BB60CD" w:rsidP="00913426"/>
    <w:p w:rsidR="001A7F67" w:rsidRPr="00913426" w:rsidRDefault="00133873" w:rsidP="00133873">
      <w:pPr>
        <w:pStyle w:val="ACLevel1"/>
        <w:keepNext/>
      </w:pPr>
      <w:r w:rsidRPr="00133873">
        <w:rPr>
          <w:rStyle w:val="ACLevel1asheadingtext"/>
        </w:rPr>
        <w:t>Security</w:t>
      </w:r>
    </w:p>
    <w:p w:rsidR="006F1D0D" w:rsidRPr="00A57ACB" w:rsidRDefault="00133873" w:rsidP="00A57ACB">
      <w:pPr>
        <w:pStyle w:val="Body"/>
        <w:ind w:left="720"/>
      </w:pPr>
      <w:r w:rsidRPr="00913426">
        <w:t>[</w:t>
      </w:r>
      <w:r w:rsidR="0055484B">
        <w:rPr>
          <w:highlight w:val="yellow"/>
        </w:rPr>
        <w:t>E</w:t>
      </w:r>
      <w:r w:rsidRPr="00913426">
        <w:rPr>
          <w:highlight w:val="yellow"/>
        </w:rPr>
        <w:t>xplain security measures in place to control</w:t>
      </w:r>
      <w:r w:rsidR="009A572E">
        <w:rPr>
          <w:highlight w:val="yellow"/>
        </w:rPr>
        <w:t xml:space="preserve"> and protect</w:t>
      </w:r>
      <w:r w:rsidRPr="00913426">
        <w:rPr>
          <w:highlight w:val="yellow"/>
        </w:rPr>
        <w:t xml:space="preserve"> access to and storage of the </w:t>
      </w:r>
      <w:r w:rsidR="003E513C">
        <w:rPr>
          <w:highlight w:val="yellow"/>
        </w:rPr>
        <w:t>personal data</w:t>
      </w:r>
      <w:r w:rsidRPr="00913426">
        <w:t>]</w:t>
      </w:r>
    </w:p>
    <w:tbl>
      <w:tblPr>
        <w:tblStyle w:val="TableGrid"/>
        <w:tblW w:w="4385" w:type="pct"/>
        <w:jc w:val="center"/>
        <w:tblLook w:val="04A0" w:firstRow="1" w:lastRow="0" w:firstColumn="1" w:lastColumn="0" w:noHBand="0" w:noVBand="1"/>
      </w:tblPr>
      <w:tblGrid>
        <w:gridCol w:w="3933"/>
        <w:gridCol w:w="4172"/>
      </w:tblGrid>
      <w:tr w:rsidR="0005176D" w:rsidRPr="00913426" w:rsidTr="0055484B">
        <w:trPr>
          <w:jc w:val="center"/>
        </w:trPr>
        <w:tc>
          <w:tcPr>
            <w:tcW w:w="3933" w:type="dxa"/>
            <w:shd w:val="clear" w:color="auto" w:fill="FDE9D9" w:themeFill="accent6" w:themeFillTint="33"/>
          </w:tcPr>
          <w:p w:rsidR="0005176D" w:rsidRDefault="006F1D0D" w:rsidP="00913426">
            <w:pPr>
              <w:jc w:val="center"/>
              <w:rPr>
                <w:b/>
              </w:rPr>
            </w:pPr>
            <w:r w:rsidRPr="00913426">
              <w:rPr>
                <w:b/>
              </w:rPr>
              <w:t>Key r</w:t>
            </w:r>
            <w:r w:rsidR="0005176D" w:rsidRPr="00913426">
              <w:rPr>
                <w:b/>
              </w:rPr>
              <w:t>isks</w:t>
            </w:r>
            <w:r w:rsidRPr="00913426">
              <w:rPr>
                <w:b/>
              </w:rPr>
              <w:t xml:space="preserve"> relating to security</w:t>
            </w:r>
          </w:p>
          <w:p w:rsidR="00A57ACB" w:rsidRPr="00913426" w:rsidRDefault="00A57ACB" w:rsidP="00913426">
            <w:pPr>
              <w:jc w:val="center"/>
              <w:rPr>
                <w:b/>
              </w:rPr>
            </w:pPr>
          </w:p>
        </w:tc>
        <w:tc>
          <w:tcPr>
            <w:tcW w:w="4172" w:type="dxa"/>
            <w:shd w:val="clear" w:color="auto" w:fill="FDE9D9" w:themeFill="accent6" w:themeFillTint="33"/>
          </w:tcPr>
          <w:p w:rsidR="0005176D" w:rsidRPr="00913426" w:rsidRDefault="0005176D" w:rsidP="00913426">
            <w:pPr>
              <w:jc w:val="center"/>
              <w:rPr>
                <w:b/>
              </w:rPr>
            </w:pPr>
            <w:r w:rsidRPr="00913426">
              <w:rPr>
                <w:b/>
              </w:rPr>
              <w:t>Mitigation</w:t>
            </w:r>
          </w:p>
        </w:tc>
      </w:tr>
      <w:tr w:rsidR="0005176D" w:rsidRPr="00913426" w:rsidTr="0055484B">
        <w:trPr>
          <w:jc w:val="center"/>
        </w:trPr>
        <w:tc>
          <w:tcPr>
            <w:tcW w:w="3933" w:type="dxa"/>
            <w:shd w:val="clear" w:color="auto" w:fill="FDE9D9" w:themeFill="accent6" w:themeFillTint="33"/>
          </w:tcPr>
          <w:p w:rsidR="0005176D" w:rsidRDefault="00A57ACB" w:rsidP="00913426">
            <w:r>
              <w:rPr>
                <w:highlight w:val="yellow"/>
              </w:rPr>
              <w:t>[</w:t>
            </w:r>
            <w:r w:rsidR="007F39B2" w:rsidRPr="00913426">
              <w:rPr>
                <w:highlight w:val="yellow"/>
              </w:rPr>
              <w:t xml:space="preserve">Insert any risks that are not already </w:t>
            </w:r>
            <w:r>
              <w:rPr>
                <w:highlight w:val="yellow"/>
              </w:rPr>
              <w:t>addressed above in section</w:t>
            </w:r>
            <w:r w:rsidR="007F39B2" w:rsidRPr="00913426">
              <w:rPr>
                <w:highlight w:val="yellow"/>
              </w:rPr>
              <w:t xml:space="preserve"> </w:t>
            </w:r>
            <w:r w:rsidRPr="00A57ACB">
              <w:rPr>
                <w:highlight w:val="yellow"/>
              </w:rPr>
              <w:t>6</w:t>
            </w:r>
            <w:r>
              <w:t>]</w:t>
            </w:r>
          </w:p>
          <w:p w:rsidR="00A57ACB" w:rsidRPr="00913426" w:rsidRDefault="00A57ACB" w:rsidP="00913426"/>
        </w:tc>
        <w:tc>
          <w:tcPr>
            <w:tcW w:w="4172" w:type="dxa"/>
            <w:shd w:val="clear" w:color="auto" w:fill="FDE9D9" w:themeFill="accent6" w:themeFillTint="33"/>
          </w:tcPr>
          <w:p w:rsidR="002D7113" w:rsidRPr="00913426" w:rsidRDefault="00A57ACB" w:rsidP="002D7113">
            <w:r>
              <w:t xml:space="preserve"> </w:t>
            </w:r>
            <w:r w:rsidR="002D7113">
              <w:t>[</w:t>
            </w:r>
            <w:r w:rsidR="002D7113" w:rsidRPr="0055484B">
              <w:rPr>
                <w:highlight w:val="yellow"/>
              </w:rPr>
              <w:t>Insert relevant mitigating security measures</w:t>
            </w:r>
            <w:r w:rsidR="002D7113">
              <w:t>, for example, encryption etc.</w:t>
            </w:r>
            <w:r w:rsidR="002D7113" w:rsidRPr="00913426">
              <w:t>]</w:t>
            </w:r>
          </w:p>
          <w:p w:rsidR="0030501C" w:rsidRPr="00913426" w:rsidRDefault="0030501C" w:rsidP="00913426"/>
        </w:tc>
      </w:tr>
    </w:tbl>
    <w:p w:rsidR="00F417AB" w:rsidRPr="00913426" w:rsidRDefault="00F417AB" w:rsidP="00913426"/>
    <w:p w:rsidR="001A7F67" w:rsidRPr="00913426" w:rsidRDefault="00133873" w:rsidP="00133873">
      <w:pPr>
        <w:pStyle w:val="ACLevel1"/>
        <w:keepNext/>
      </w:pPr>
      <w:r w:rsidRPr="00133873">
        <w:rPr>
          <w:rStyle w:val="ACLevel1asheadingtext"/>
        </w:rPr>
        <w:t>Adequacy and relevance</w:t>
      </w:r>
    </w:p>
    <w:p w:rsidR="006F1D0D" w:rsidRPr="00A57ACB" w:rsidRDefault="00133873" w:rsidP="00A57ACB">
      <w:pPr>
        <w:pStyle w:val="ACBody1"/>
      </w:pPr>
      <w:r w:rsidRPr="00913426">
        <w:t xml:space="preserve">Adequacy and relevancy are key considerations for the lawful processing of personal data. </w:t>
      </w:r>
      <w:r w:rsidR="009A572E">
        <w:t>In accordance with good</w:t>
      </w:r>
      <w:r w:rsidRPr="00913426">
        <w:t xml:space="preserve"> data protection practice, it is worth considering whether there i</w:t>
      </w:r>
      <w:r w:rsidR="00C17968">
        <w:t xml:space="preserve">s an equally effective way for </w:t>
      </w:r>
      <w:r w:rsidR="003C2260">
        <w:t>Stafford Fuels</w:t>
      </w:r>
      <w:r w:rsidR="00C17968">
        <w:t xml:space="preserve"> </w:t>
      </w:r>
      <w:r w:rsidRPr="00913426">
        <w:t>to achieve its goals without using</w:t>
      </w:r>
      <w:r w:rsidR="00C17968">
        <w:t xml:space="preserve"> [</w:t>
      </w:r>
      <w:r w:rsidR="00C17968" w:rsidRPr="00C17968">
        <w:rPr>
          <w:highlight w:val="yellow"/>
        </w:rPr>
        <w:t>system/technology/process</w:t>
      </w:r>
      <w:r w:rsidR="00C17968">
        <w:t>]</w:t>
      </w:r>
      <w:r w:rsidRPr="00913426">
        <w:t xml:space="preserve">. </w:t>
      </w:r>
      <w:r w:rsidR="00C17968">
        <w:t>[</w:t>
      </w:r>
      <w:r w:rsidRPr="00A57ACB">
        <w:rPr>
          <w:highlight w:val="yellow"/>
        </w:rPr>
        <w:t xml:space="preserve">On balance, we do not believe that there is and the deployment of </w:t>
      </w:r>
      <w:r w:rsidR="00C17968" w:rsidRPr="00A57ACB">
        <w:rPr>
          <w:highlight w:val="yellow"/>
        </w:rPr>
        <w:t>[system/technology/process]</w:t>
      </w:r>
      <w:r w:rsidRPr="00A57ACB">
        <w:rPr>
          <w:highlight w:val="yellow"/>
        </w:rPr>
        <w:t xml:space="preserve"> </w:t>
      </w:r>
      <w:r w:rsidR="00C17968" w:rsidRPr="00A57ACB">
        <w:rPr>
          <w:highlight w:val="yellow"/>
        </w:rPr>
        <w:t>is</w:t>
      </w:r>
      <w:r w:rsidRPr="00A57ACB">
        <w:rPr>
          <w:highlight w:val="yellow"/>
        </w:rPr>
        <w:t xml:space="preserve"> </w:t>
      </w:r>
      <w:r w:rsidR="00C17968" w:rsidRPr="00A57ACB">
        <w:rPr>
          <w:highlight w:val="yellow"/>
        </w:rPr>
        <w:t>necessary</w:t>
      </w:r>
      <w:r w:rsidR="009A572E">
        <w:rPr>
          <w:highlight w:val="yellow"/>
        </w:rPr>
        <w:t xml:space="preserve"> because</w:t>
      </w:r>
      <w:r w:rsidR="00C17968" w:rsidRPr="00A57ACB">
        <w:rPr>
          <w:highlight w:val="yellow"/>
        </w:rPr>
        <w:t xml:space="preserve"> [insert purpose]</w:t>
      </w:r>
      <w:r w:rsidR="00C17968">
        <w:t>]</w:t>
      </w:r>
      <w:r w:rsidRPr="00913426">
        <w:t>.</w:t>
      </w:r>
    </w:p>
    <w:tbl>
      <w:tblPr>
        <w:tblStyle w:val="TableGrid"/>
        <w:tblW w:w="4442" w:type="pct"/>
        <w:jc w:val="center"/>
        <w:tblLook w:val="04A0" w:firstRow="1" w:lastRow="0" w:firstColumn="1" w:lastColumn="0" w:noHBand="0" w:noVBand="1"/>
      </w:tblPr>
      <w:tblGrid>
        <w:gridCol w:w="4253"/>
        <w:gridCol w:w="3958"/>
      </w:tblGrid>
      <w:tr w:rsidR="009B59F8" w:rsidRPr="00913426" w:rsidTr="0055484B">
        <w:trPr>
          <w:jc w:val="center"/>
        </w:trPr>
        <w:tc>
          <w:tcPr>
            <w:tcW w:w="4252" w:type="dxa"/>
            <w:shd w:val="clear" w:color="auto" w:fill="FDE9D9" w:themeFill="accent6" w:themeFillTint="33"/>
          </w:tcPr>
          <w:p w:rsidR="009B59F8" w:rsidRDefault="009B59F8" w:rsidP="00A57ACB">
            <w:pPr>
              <w:jc w:val="center"/>
              <w:rPr>
                <w:b/>
              </w:rPr>
            </w:pPr>
            <w:r w:rsidRPr="00913426">
              <w:rPr>
                <w:b/>
              </w:rPr>
              <w:t xml:space="preserve">Key </w:t>
            </w:r>
            <w:r w:rsidR="006F1D0D" w:rsidRPr="00913426">
              <w:rPr>
                <w:b/>
              </w:rPr>
              <w:t>r</w:t>
            </w:r>
            <w:r w:rsidRPr="00913426">
              <w:rPr>
                <w:b/>
              </w:rPr>
              <w:t>isks</w:t>
            </w:r>
            <w:r w:rsidR="006F1D0D" w:rsidRPr="00913426">
              <w:rPr>
                <w:b/>
              </w:rPr>
              <w:t xml:space="preserve"> relating to adequacy </w:t>
            </w:r>
            <w:r w:rsidR="00A57ACB">
              <w:rPr>
                <w:b/>
              </w:rPr>
              <w:t>and</w:t>
            </w:r>
            <w:r w:rsidR="006F1D0D" w:rsidRPr="00913426">
              <w:rPr>
                <w:b/>
              </w:rPr>
              <w:t xml:space="preserve"> relevance</w:t>
            </w:r>
          </w:p>
          <w:p w:rsidR="00A57ACB" w:rsidRPr="00913426" w:rsidRDefault="00A57ACB" w:rsidP="00A57ACB">
            <w:pPr>
              <w:jc w:val="center"/>
              <w:rPr>
                <w:b/>
              </w:rPr>
            </w:pPr>
          </w:p>
        </w:tc>
        <w:tc>
          <w:tcPr>
            <w:tcW w:w="3958" w:type="dxa"/>
            <w:shd w:val="clear" w:color="auto" w:fill="FDE9D9" w:themeFill="accent6" w:themeFillTint="33"/>
          </w:tcPr>
          <w:p w:rsidR="009B59F8" w:rsidRPr="00913426" w:rsidRDefault="009B59F8" w:rsidP="00913426">
            <w:pPr>
              <w:jc w:val="center"/>
              <w:rPr>
                <w:b/>
              </w:rPr>
            </w:pPr>
            <w:r w:rsidRPr="00913426">
              <w:rPr>
                <w:b/>
              </w:rPr>
              <w:t>Mitigation</w:t>
            </w:r>
          </w:p>
        </w:tc>
      </w:tr>
      <w:tr w:rsidR="009B59F8" w:rsidRPr="00913426" w:rsidTr="0055484B">
        <w:trPr>
          <w:jc w:val="center"/>
        </w:trPr>
        <w:tc>
          <w:tcPr>
            <w:tcW w:w="4252" w:type="dxa"/>
            <w:shd w:val="clear" w:color="auto" w:fill="FDE9D9" w:themeFill="accent6" w:themeFillTint="33"/>
          </w:tcPr>
          <w:p w:rsidR="009B59F8" w:rsidRDefault="00656594" w:rsidP="00C17968">
            <w:r w:rsidRPr="00913426">
              <w:t xml:space="preserve">Personal data </w:t>
            </w:r>
            <w:r w:rsidR="00AA54C4" w:rsidRPr="00913426">
              <w:t xml:space="preserve">that is not relevant </w:t>
            </w:r>
            <w:r w:rsidR="00081A10" w:rsidRPr="00913426">
              <w:t xml:space="preserve">to the purposes of the </w:t>
            </w:r>
            <w:r w:rsidR="00C17968">
              <w:t>[</w:t>
            </w:r>
            <w:r w:rsidR="00081A10" w:rsidRPr="00A57ACB">
              <w:rPr>
                <w:highlight w:val="yellow"/>
              </w:rPr>
              <w:t>system</w:t>
            </w:r>
            <w:r w:rsidR="00C17968" w:rsidRPr="00A57ACB">
              <w:rPr>
                <w:highlight w:val="yellow"/>
              </w:rPr>
              <w:t>/technology/process</w:t>
            </w:r>
            <w:r w:rsidR="00C17968">
              <w:t>]</w:t>
            </w:r>
            <w:r w:rsidR="00081A10" w:rsidRPr="00913426">
              <w:t xml:space="preserve"> is captured.</w:t>
            </w:r>
          </w:p>
          <w:p w:rsidR="00A57ACB" w:rsidRPr="00913426" w:rsidRDefault="00A57ACB" w:rsidP="00C17968"/>
        </w:tc>
        <w:tc>
          <w:tcPr>
            <w:tcW w:w="3958" w:type="dxa"/>
            <w:shd w:val="clear" w:color="auto" w:fill="FDE9D9" w:themeFill="accent6" w:themeFillTint="33"/>
          </w:tcPr>
          <w:p w:rsidR="00656594" w:rsidRPr="00913426" w:rsidRDefault="00A57ACB" w:rsidP="00913426">
            <w:r>
              <w:t xml:space="preserve"> </w:t>
            </w:r>
            <w:r>
              <w:sym w:font="Wingdings" w:char="F06C"/>
            </w:r>
            <w:r>
              <w:t xml:space="preserve"> </w:t>
            </w:r>
          </w:p>
        </w:tc>
      </w:tr>
    </w:tbl>
    <w:p w:rsidR="00F417AB" w:rsidRPr="00913426" w:rsidRDefault="00F417AB" w:rsidP="00913426"/>
    <w:p w:rsidR="001A7F67" w:rsidRPr="00913426" w:rsidRDefault="00133873" w:rsidP="00133873">
      <w:pPr>
        <w:pStyle w:val="ACLevel1"/>
        <w:keepNext/>
      </w:pPr>
      <w:r w:rsidRPr="00133873">
        <w:rPr>
          <w:rStyle w:val="ACLevel1asheadingtext"/>
        </w:rPr>
        <w:t>Accuracy</w:t>
      </w:r>
    </w:p>
    <w:p w:rsidR="006F1D0D" w:rsidRPr="00A57ACB" w:rsidRDefault="00C17968" w:rsidP="00A57ACB">
      <w:pPr>
        <w:pStyle w:val="Body"/>
        <w:ind w:left="720"/>
      </w:pPr>
      <w:r>
        <w:t>[</w:t>
      </w:r>
      <w:r w:rsidR="00A57ACB" w:rsidRPr="00A57ACB">
        <w:rPr>
          <w:highlight w:val="yellow"/>
        </w:rPr>
        <w:t>C</w:t>
      </w:r>
      <w:r w:rsidRPr="00A57ACB">
        <w:rPr>
          <w:highlight w:val="yellow"/>
        </w:rPr>
        <w:t xml:space="preserve">onsider whether any </w:t>
      </w:r>
      <w:r w:rsidR="003E513C">
        <w:rPr>
          <w:highlight w:val="yellow"/>
        </w:rPr>
        <w:t>personal data</w:t>
      </w:r>
      <w:r w:rsidRPr="00A57ACB">
        <w:rPr>
          <w:highlight w:val="yellow"/>
        </w:rPr>
        <w:t xml:space="preserve"> collected is likely to be inaccurate and how that would be identified and remedied</w:t>
      </w:r>
      <w:r w:rsidR="00A57ACB" w:rsidRPr="00A57ACB">
        <w:rPr>
          <w:highlight w:val="yellow"/>
        </w:rPr>
        <w:t>.</w:t>
      </w:r>
      <w:r>
        <w:t>]</w:t>
      </w:r>
    </w:p>
    <w:tbl>
      <w:tblPr>
        <w:tblStyle w:val="TableGrid"/>
        <w:tblW w:w="4461" w:type="pct"/>
        <w:jc w:val="center"/>
        <w:tblLook w:val="04A0" w:firstRow="1" w:lastRow="0" w:firstColumn="1" w:lastColumn="0" w:noHBand="0" w:noVBand="1"/>
      </w:tblPr>
      <w:tblGrid>
        <w:gridCol w:w="4071"/>
        <w:gridCol w:w="4175"/>
      </w:tblGrid>
      <w:tr w:rsidR="0005176D" w:rsidRPr="00913426" w:rsidTr="0055484B">
        <w:trPr>
          <w:jc w:val="center"/>
        </w:trPr>
        <w:tc>
          <w:tcPr>
            <w:tcW w:w="4071" w:type="dxa"/>
            <w:shd w:val="clear" w:color="auto" w:fill="FDE9D9" w:themeFill="accent6" w:themeFillTint="33"/>
          </w:tcPr>
          <w:p w:rsidR="0005176D" w:rsidRPr="00913426" w:rsidRDefault="006F1D0D" w:rsidP="00913426">
            <w:pPr>
              <w:jc w:val="center"/>
              <w:rPr>
                <w:b/>
              </w:rPr>
            </w:pPr>
            <w:r w:rsidRPr="00913426">
              <w:rPr>
                <w:b/>
              </w:rPr>
              <w:t>Key r</w:t>
            </w:r>
            <w:r w:rsidR="0005176D" w:rsidRPr="00913426">
              <w:rPr>
                <w:b/>
              </w:rPr>
              <w:t>isks</w:t>
            </w:r>
            <w:r w:rsidRPr="00913426">
              <w:rPr>
                <w:b/>
              </w:rPr>
              <w:t xml:space="preserve"> relating to accuracy</w:t>
            </w:r>
          </w:p>
        </w:tc>
        <w:tc>
          <w:tcPr>
            <w:tcW w:w="4175" w:type="dxa"/>
            <w:shd w:val="clear" w:color="auto" w:fill="FDE9D9" w:themeFill="accent6" w:themeFillTint="33"/>
          </w:tcPr>
          <w:p w:rsidR="0005176D" w:rsidRPr="00913426" w:rsidRDefault="0005176D" w:rsidP="00913426">
            <w:pPr>
              <w:jc w:val="center"/>
              <w:rPr>
                <w:b/>
              </w:rPr>
            </w:pPr>
            <w:r w:rsidRPr="00913426">
              <w:rPr>
                <w:b/>
              </w:rPr>
              <w:t>Mitigation</w:t>
            </w:r>
          </w:p>
        </w:tc>
      </w:tr>
      <w:tr w:rsidR="00023257" w:rsidRPr="00913426" w:rsidTr="0055484B">
        <w:trPr>
          <w:trHeight w:val="449"/>
          <w:jc w:val="center"/>
        </w:trPr>
        <w:tc>
          <w:tcPr>
            <w:tcW w:w="4071" w:type="dxa"/>
            <w:shd w:val="clear" w:color="auto" w:fill="FDE9D9" w:themeFill="accent6" w:themeFillTint="33"/>
          </w:tcPr>
          <w:p w:rsidR="00023257" w:rsidRPr="00913426" w:rsidRDefault="00A57ACB" w:rsidP="00913426">
            <w:r>
              <w:t xml:space="preserve"> </w:t>
            </w:r>
            <w:r>
              <w:sym w:font="Wingdings" w:char="F06C"/>
            </w:r>
            <w:r>
              <w:t xml:space="preserve"> </w:t>
            </w:r>
          </w:p>
        </w:tc>
        <w:tc>
          <w:tcPr>
            <w:tcW w:w="4175" w:type="dxa"/>
            <w:shd w:val="clear" w:color="auto" w:fill="FDE9D9" w:themeFill="accent6" w:themeFillTint="33"/>
          </w:tcPr>
          <w:p w:rsidR="00023257" w:rsidRPr="00913426" w:rsidRDefault="00A57ACB" w:rsidP="00913426">
            <w:r>
              <w:t xml:space="preserve"> </w:t>
            </w:r>
            <w:r>
              <w:sym w:font="Wingdings" w:char="F06C"/>
            </w:r>
            <w:r>
              <w:t xml:space="preserve"> </w:t>
            </w:r>
          </w:p>
        </w:tc>
      </w:tr>
    </w:tbl>
    <w:p w:rsidR="00D70903" w:rsidRPr="00913426" w:rsidRDefault="00D70903" w:rsidP="00913426"/>
    <w:p w:rsidR="001A7F67" w:rsidRPr="00913426" w:rsidRDefault="00133873" w:rsidP="00133873">
      <w:pPr>
        <w:pStyle w:val="ACLevel1"/>
        <w:keepNext/>
      </w:pPr>
      <w:r w:rsidRPr="00133873">
        <w:rPr>
          <w:rStyle w:val="ACLevel1asheadingtext"/>
        </w:rPr>
        <w:t>Retention</w:t>
      </w:r>
    </w:p>
    <w:p w:rsidR="006F1D0D" w:rsidRPr="00A57ACB" w:rsidRDefault="00133873" w:rsidP="00A57ACB">
      <w:pPr>
        <w:pStyle w:val="Body"/>
        <w:ind w:left="720"/>
      </w:pPr>
      <w:r w:rsidRPr="00913426">
        <w:t xml:space="preserve">Data protection law provides that </w:t>
      </w:r>
      <w:r w:rsidR="003E513C">
        <w:t>personal data</w:t>
      </w:r>
      <w:r w:rsidRPr="00913426">
        <w:t xml:space="preserve"> shall not be kept for longer than is necessary for the purpose(s) for which it was obtained.</w:t>
      </w:r>
    </w:p>
    <w:tbl>
      <w:tblPr>
        <w:tblStyle w:val="TableGrid"/>
        <w:tblW w:w="4500" w:type="pct"/>
        <w:jc w:val="center"/>
        <w:tblLook w:val="04A0" w:firstRow="1" w:lastRow="0" w:firstColumn="1" w:lastColumn="0" w:noHBand="0" w:noVBand="1"/>
      </w:tblPr>
      <w:tblGrid>
        <w:gridCol w:w="4161"/>
        <w:gridCol w:w="4157"/>
      </w:tblGrid>
      <w:tr w:rsidR="009B59F8" w:rsidRPr="00913426" w:rsidTr="006F1D0D">
        <w:trPr>
          <w:jc w:val="center"/>
        </w:trPr>
        <w:tc>
          <w:tcPr>
            <w:tcW w:w="4944" w:type="dxa"/>
            <w:shd w:val="clear" w:color="auto" w:fill="FDE9D9" w:themeFill="accent6" w:themeFillTint="33"/>
          </w:tcPr>
          <w:p w:rsidR="009B59F8" w:rsidRDefault="009B59F8" w:rsidP="00913426">
            <w:pPr>
              <w:jc w:val="center"/>
              <w:rPr>
                <w:b/>
              </w:rPr>
            </w:pPr>
            <w:r w:rsidRPr="00913426">
              <w:rPr>
                <w:b/>
              </w:rPr>
              <w:t xml:space="preserve">Key </w:t>
            </w:r>
            <w:r w:rsidR="006F1D0D" w:rsidRPr="00913426">
              <w:rPr>
                <w:b/>
              </w:rPr>
              <w:t>r</w:t>
            </w:r>
            <w:r w:rsidRPr="00913426">
              <w:rPr>
                <w:b/>
              </w:rPr>
              <w:t>isks</w:t>
            </w:r>
            <w:r w:rsidR="006F1D0D" w:rsidRPr="00913426">
              <w:rPr>
                <w:b/>
              </w:rPr>
              <w:t xml:space="preserve"> relating to retention</w:t>
            </w:r>
          </w:p>
          <w:p w:rsidR="00A57ACB" w:rsidRPr="00913426" w:rsidRDefault="00A57ACB" w:rsidP="00913426">
            <w:pPr>
              <w:jc w:val="center"/>
              <w:rPr>
                <w:b/>
              </w:rPr>
            </w:pPr>
          </w:p>
        </w:tc>
        <w:tc>
          <w:tcPr>
            <w:tcW w:w="4945" w:type="dxa"/>
            <w:shd w:val="clear" w:color="auto" w:fill="FDE9D9" w:themeFill="accent6" w:themeFillTint="33"/>
          </w:tcPr>
          <w:p w:rsidR="009B59F8" w:rsidRPr="00913426" w:rsidRDefault="009B59F8" w:rsidP="00913426">
            <w:pPr>
              <w:jc w:val="center"/>
              <w:rPr>
                <w:b/>
              </w:rPr>
            </w:pPr>
            <w:r w:rsidRPr="00913426">
              <w:rPr>
                <w:b/>
              </w:rPr>
              <w:t>Mitigation</w:t>
            </w:r>
          </w:p>
        </w:tc>
      </w:tr>
      <w:tr w:rsidR="009B59F8" w:rsidRPr="00913426" w:rsidTr="006F1D0D">
        <w:trPr>
          <w:jc w:val="center"/>
        </w:trPr>
        <w:tc>
          <w:tcPr>
            <w:tcW w:w="4944" w:type="dxa"/>
            <w:shd w:val="clear" w:color="auto" w:fill="FDE9D9" w:themeFill="accent6" w:themeFillTint="33"/>
          </w:tcPr>
          <w:p w:rsidR="009B59F8" w:rsidRDefault="003124A2" w:rsidP="00913426">
            <w:r w:rsidRPr="00913426">
              <w:t xml:space="preserve">This principle of data protection law would be breached if the </w:t>
            </w:r>
            <w:r w:rsidR="003E513C">
              <w:t>personal data</w:t>
            </w:r>
            <w:r w:rsidRPr="00913426">
              <w:t xml:space="preserve"> was</w:t>
            </w:r>
            <w:r w:rsidR="009A572E">
              <w:t xml:space="preserve">, </w:t>
            </w:r>
            <w:r w:rsidR="009A572E">
              <w:lastRenderedPageBreak/>
              <w:t>without reason,</w:t>
            </w:r>
            <w:r w:rsidRPr="00913426">
              <w:t xml:space="preserve"> held indefinitely or for a long period of time.</w:t>
            </w:r>
          </w:p>
          <w:p w:rsidR="00A57ACB" w:rsidRPr="00913426" w:rsidRDefault="00A57ACB" w:rsidP="00913426"/>
        </w:tc>
        <w:tc>
          <w:tcPr>
            <w:tcW w:w="4945" w:type="dxa"/>
            <w:shd w:val="clear" w:color="auto" w:fill="FDE9D9" w:themeFill="accent6" w:themeFillTint="33"/>
          </w:tcPr>
          <w:p w:rsidR="00F6578D" w:rsidRPr="00913426" w:rsidRDefault="002E7DE9" w:rsidP="00913426">
            <w:r>
              <w:lastRenderedPageBreak/>
              <w:t>[</w:t>
            </w:r>
            <w:r w:rsidRPr="002E7DE9">
              <w:rPr>
                <w:highlight w:val="yellow"/>
              </w:rPr>
              <w:t>insert relevant retention period and rationale behind that retention period]</w:t>
            </w:r>
          </w:p>
        </w:tc>
      </w:tr>
    </w:tbl>
    <w:p w:rsidR="009B59F8" w:rsidRPr="00913426" w:rsidRDefault="009B59F8" w:rsidP="00913426"/>
    <w:p w:rsidR="001A7F67" w:rsidRPr="00913426" w:rsidRDefault="00133873" w:rsidP="00133873">
      <w:pPr>
        <w:pStyle w:val="ACLevel1"/>
        <w:keepNext/>
      </w:pPr>
      <w:r w:rsidRPr="00133873">
        <w:rPr>
          <w:rStyle w:val="ACLevel1asheadingtext"/>
        </w:rPr>
        <w:t>Right of access</w:t>
      </w:r>
    </w:p>
    <w:p w:rsidR="00277147" w:rsidRPr="00B17B7B" w:rsidRDefault="00133873" w:rsidP="00B17B7B">
      <w:pPr>
        <w:pStyle w:val="ACLevel2"/>
      </w:pPr>
      <w:r w:rsidRPr="00B17B7B">
        <w:t>Data protection law provides for a right to establish the existence of personal data and a right of access to personal data.</w:t>
      </w:r>
    </w:p>
    <w:p w:rsidR="006F1D0D" w:rsidRPr="00A57ACB" w:rsidRDefault="000C0FDF" w:rsidP="00A57ACB">
      <w:pPr>
        <w:pStyle w:val="ACLevel2"/>
      </w:pPr>
      <w:r w:rsidRPr="00B17B7B">
        <w:t>This law</w:t>
      </w:r>
      <w:r w:rsidR="002805D7" w:rsidRPr="00B17B7B">
        <w:t xml:space="preserve"> </w:t>
      </w:r>
      <w:r w:rsidRPr="00B17B7B">
        <w:t xml:space="preserve">also </w:t>
      </w:r>
      <w:r w:rsidR="002805D7" w:rsidRPr="00B17B7B">
        <w:t>allow</w:t>
      </w:r>
      <w:r w:rsidRPr="00B17B7B">
        <w:t>s</w:t>
      </w:r>
      <w:r w:rsidR="002805D7" w:rsidRPr="00B17B7B">
        <w:t xml:space="preserve"> for certain </w:t>
      </w:r>
      <w:r w:rsidR="00002143" w:rsidRPr="00B17B7B">
        <w:t xml:space="preserve">restrictions to the right of access. </w:t>
      </w:r>
      <w:r w:rsidR="00C17968" w:rsidRPr="00B17B7B">
        <w:t>[</w:t>
      </w:r>
      <w:r w:rsidR="00002143" w:rsidRPr="00A57ACB">
        <w:rPr>
          <w:highlight w:val="yellow"/>
        </w:rPr>
        <w:t>The</w:t>
      </w:r>
      <w:r w:rsidR="00044BE4" w:rsidRPr="00A57ACB">
        <w:rPr>
          <w:highlight w:val="yellow"/>
        </w:rPr>
        <w:t xml:space="preserve"> most</w:t>
      </w:r>
      <w:r w:rsidR="00002143" w:rsidRPr="00A57ACB">
        <w:rPr>
          <w:highlight w:val="yellow"/>
        </w:rPr>
        <w:t xml:space="preserve"> rel</w:t>
      </w:r>
      <w:r w:rsidR="00277147" w:rsidRPr="00A57ACB">
        <w:rPr>
          <w:highlight w:val="yellow"/>
        </w:rPr>
        <w:t xml:space="preserve">evant one in the context of </w:t>
      </w:r>
      <w:r w:rsidR="00C17968" w:rsidRPr="00A57ACB">
        <w:rPr>
          <w:highlight w:val="yellow"/>
        </w:rPr>
        <w:t>[system/technology/process]</w:t>
      </w:r>
      <w:r w:rsidR="00277147" w:rsidRPr="00A57ACB">
        <w:rPr>
          <w:highlight w:val="yellow"/>
        </w:rPr>
        <w:t xml:space="preserve"> is that the right of access may be restricted where </w:t>
      </w:r>
      <w:r w:rsidR="00C17968" w:rsidRPr="00A57ACB">
        <w:rPr>
          <w:highlight w:val="yellow"/>
        </w:rPr>
        <w:t>[insert any relevant exemption or lim</w:t>
      </w:r>
      <w:r w:rsidR="00610BBA">
        <w:rPr>
          <w:highlight w:val="yellow"/>
        </w:rPr>
        <w:t>itation and how it is relevant</w:t>
      </w:r>
      <w:r w:rsidR="00C17968" w:rsidRPr="00B17B7B">
        <w:t>]</w:t>
      </w:r>
      <w:r w:rsidR="00277147" w:rsidRPr="00B17B7B">
        <w:t xml:space="preserve">. </w:t>
      </w:r>
    </w:p>
    <w:tbl>
      <w:tblPr>
        <w:tblStyle w:val="TableGrid"/>
        <w:tblW w:w="4461" w:type="pct"/>
        <w:jc w:val="center"/>
        <w:tblLook w:val="04A0" w:firstRow="1" w:lastRow="0" w:firstColumn="1" w:lastColumn="0" w:noHBand="0" w:noVBand="1"/>
      </w:tblPr>
      <w:tblGrid>
        <w:gridCol w:w="4103"/>
        <w:gridCol w:w="4143"/>
      </w:tblGrid>
      <w:tr w:rsidR="009B59F8" w:rsidRPr="00913426" w:rsidTr="00A57ACB">
        <w:trPr>
          <w:jc w:val="center"/>
        </w:trPr>
        <w:tc>
          <w:tcPr>
            <w:tcW w:w="4103" w:type="dxa"/>
            <w:shd w:val="clear" w:color="auto" w:fill="FDE9D9" w:themeFill="accent6" w:themeFillTint="33"/>
          </w:tcPr>
          <w:p w:rsidR="009B59F8" w:rsidRDefault="009B59F8" w:rsidP="00913426">
            <w:pPr>
              <w:jc w:val="center"/>
              <w:rPr>
                <w:b/>
              </w:rPr>
            </w:pPr>
            <w:r w:rsidRPr="00913426">
              <w:rPr>
                <w:b/>
              </w:rPr>
              <w:t xml:space="preserve">Key </w:t>
            </w:r>
            <w:r w:rsidR="006F1D0D" w:rsidRPr="00913426">
              <w:rPr>
                <w:b/>
              </w:rPr>
              <w:t>r</w:t>
            </w:r>
            <w:r w:rsidRPr="00913426">
              <w:rPr>
                <w:b/>
              </w:rPr>
              <w:t>isks</w:t>
            </w:r>
            <w:r w:rsidR="006F1D0D" w:rsidRPr="00913426">
              <w:rPr>
                <w:b/>
              </w:rPr>
              <w:t xml:space="preserve"> relating to right of access</w:t>
            </w:r>
          </w:p>
          <w:p w:rsidR="00A57ACB" w:rsidRPr="00913426" w:rsidRDefault="00A57ACB" w:rsidP="00913426">
            <w:pPr>
              <w:jc w:val="center"/>
              <w:rPr>
                <w:b/>
              </w:rPr>
            </w:pPr>
          </w:p>
        </w:tc>
        <w:tc>
          <w:tcPr>
            <w:tcW w:w="4143" w:type="dxa"/>
            <w:shd w:val="clear" w:color="auto" w:fill="FDE9D9" w:themeFill="accent6" w:themeFillTint="33"/>
          </w:tcPr>
          <w:p w:rsidR="009B59F8" w:rsidRPr="00913426" w:rsidRDefault="009B59F8" w:rsidP="00913426">
            <w:pPr>
              <w:jc w:val="center"/>
              <w:rPr>
                <w:b/>
              </w:rPr>
            </w:pPr>
            <w:r w:rsidRPr="00913426">
              <w:rPr>
                <w:b/>
              </w:rPr>
              <w:t>Mitigation</w:t>
            </w:r>
          </w:p>
        </w:tc>
      </w:tr>
      <w:tr w:rsidR="009B59F8" w:rsidRPr="00913426" w:rsidTr="00A57ACB">
        <w:trPr>
          <w:jc w:val="center"/>
        </w:trPr>
        <w:tc>
          <w:tcPr>
            <w:tcW w:w="4103" w:type="dxa"/>
            <w:shd w:val="clear" w:color="auto" w:fill="FDE9D9" w:themeFill="accent6" w:themeFillTint="33"/>
          </w:tcPr>
          <w:p w:rsidR="009B59F8" w:rsidRPr="00913426" w:rsidRDefault="00C21818" w:rsidP="00C17968">
            <w:r w:rsidRPr="00913426">
              <w:t xml:space="preserve">Information held on an individual is not released following an access request, due to a determination by </w:t>
            </w:r>
            <w:r w:rsidR="003C2260">
              <w:t>Stafford Fuels</w:t>
            </w:r>
            <w:r w:rsidRPr="00913426">
              <w:t xml:space="preserve"> that </w:t>
            </w:r>
            <w:r w:rsidR="00277147" w:rsidRPr="00913426">
              <w:t>one of the exceptions to the right of access applies</w:t>
            </w:r>
            <w:r w:rsidR="0071506E" w:rsidRPr="00913426">
              <w:t>.</w:t>
            </w:r>
          </w:p>
        </w:tc>
        <w:tc>
          <w:tcPr>
            <w:tcW w:w="4143" w:type="dxa"/>
            <w:shd w:val="clear" w:color="auto" w:fill="FDE9D9" w:themeFill="accent6" w:themeFillTint="33"/>
          </w:tcPr>
          <w:p w:rsidR="009B59F8" w:rsidRDefault="00A94DE9" w:rsidP="00C17968">
            <w:r w:rsidRPr="00913426">
              <w:t xml:space="preserve">The default policy will be to always release information following </w:t>
            </w:r>
            <w:r w:rsidR="00F905B9" w:rsidRPr="00913426">
              <w:t xml:space="preserve">receipt of a </w:t>
            </w:r>
            <w:r w:rsidR="00302A72" w:rsidRPr="00913426">
              <w:t xml:space="preserve">valid access </w:t>
            </w:r>
            <w:r w:rsidR="00A57ACB" w:rsidRPr="00913426">
              <w:t>request;</w:t>
            </w:r>
            <w:r w:rsidR="00F905B9" w:rsidRPr="00913426">
              <w:t xml:space="preserve"> however</w:t>
            </w:r>
            <w:r w:rsidR="00C17968">
              <w:t xml:space="preserve"> </w:t>
            </w:r>
            <w:r w:rsidR="003C2260">
              <w:t>Stafford Fuels</w:t>
            </w:r>
            <w:r w:rsidR="00302A72" w:rsidRPr="00913426">
              <w:t xml:space="preserve"> will apply the exemptions where it feels that it is necessary</w:t>
            </w:r>
            <w:r w:rsidR="009A572E">
              <w:t xml:space="preserve"> </w:t>
            </w:r>
            <w:r w:rsidR="00A57ACB">
              <w:t>/</w:t>
            </w:r>
            <w:r w:rsidR="009A572E">
              <w:t xml:space="preserve"> </w:t>
            </w:r>
            <w:r w:rsidR="00A57ACB">
              <w:t>appropriate</w:t>
            </w:r>
            <w:r w:rsidR="00302A72" w:rsidRPr="00913426">
              <w:t xml:space="preserve"> to do so.</w:t>
            </w:r>
          </w:p>
          <w:p w:rsidR="009A572E" w:rsidRPr="00913426" w:rsidRDefault="009A572E" w:rsidP="00C17968"/>
        </w:tc>
      </w:tr>
    </w:tbl>
    <w:p w:rsidR="009B59F8" w:rsidRPr="00A57ACB" w:rsidRDefault="009B59F8" w:rsidP="00913426"/>
    <w:p w:rsidR="00817CF8" w:rsidRPr="00A57ACB" w:rsidRDefault="00133873" w:rsidP="00133873">
      <w:pPr>
        <w:pStyle w:val="ACLevel1"/>
      </w:pPr>
      <w:r w:rsidRPr="00A57ACB">
        <w:rPr>
          <w:b/>
          <w:bCs/>
          <w:iCs/>
        </w:rPr>
        <w:t>Right to rectification or erasure and right to object</w:t>
      </w:r>
    </w:p>
    <w:p w:rsidR="003949FF" w:rsidRPr="00B17B7B" w:rsidRDefault="00133873" w:rsidP="00B17B7B">
      <w:pPr>
        <w:pStyle w:val="ACLevel2"/>
      </w:pPr>
      <w:r w:rsidRPr="00913426">
        <w:t>Data protection law provides for a right for an individual to have rectified or, where appropriate, blocked or erased any personal data relating to him/her in respect of which the data controller has breached its obligations in relation to fair collection and processing, adequacy and relevance, accuracy, etc. The law also provides for a right to object to processing likely to cause unwarranted damage or distress, subject to certain exceptions.</w:t>
      </w:r>
    </w:p>
    <w:p w:rsidR="006F1D0D" w:rsidRPr="00A57ACB" w:rsidRDefault="00133873" w:rsidP="00A57ACB">
      <w:pPr>
        <w:pStyle w:val="ACLevel2"/>
      </w:pPr>
      <w:r w:rsidRPr="00913426">
        <w:t xml:space="preserve">Article 17 of the GDPR has introduced a more explicit </w:t>
      </w:r>
      <w:r>
        <w:t>“</w:t>
      </w:r>
      <w:r w:rsidRPr="00913426">
        <w:t>right to be forgotten</w:t>
      </w:r>
      <w:r>
        <w:t>”</w:t>
      </w:r>
      <w:r w:rsidRPr="00913426">
        <w:t xml:space="preserve"> where, under certain grounds, an individual can instruct a data controller to erase personal data, and Article 21 provides for a right to object to processing. An individual can withdraw consent for or object to processing. However, a data controller may continue to process personal data, despite such a withdrawal or objection, if the data controller can demonstrate compelling legitimate grounds for the processing which override the interests of the data subject. A strong argument could be made that the legitimate grounds for the processing of </w:t>
      </w:r>
      <w:r w:rsidR="003E513C">
        <w:t>personal data</w:t>
      </w:r>
      <w:r w:rsidRPr="00913426">
        <w:t xml:space="preserve"> concerning </w:t>
      </w:r>
      <w:r w:rsidR="00C17968">
        <w:t>[</w:t>
      </w:r>
      <w:r w:rsidR="00C17968" w:rsidRPr="00C17968">
        <w:rPr>
          <w:highlight w:val="yellow"/>
        </w:rPr>
        <w:t>insert relevant purpose of system/technology/process</w:t>
      </w:r>
      <w:r w:rsidR="00C17968">
        <w:t>]</w:t>
      </w:r>
      <w:r w:rsidRPr="00913426">
        <w:t xml:space="preserve"> generally overrides the objections of data subjects to such processing.</w:t>
      </w:r>
    </w:p>
    <w:tbl>
      <w:tblPr>
        <w:tblStyle w:val="TableGrid"/>
        <w:tblW w:w="4500" w:type="pct"/>
        <w:jc w:val="center"/>
        <w:tblLook w:val="04A0" w:firstRow="1" w:lastRow="0" w:firstColumn="1" w:lastColumn="0" w:noHBand="0" w:noVBand="1"/>
      </w:tblPr>
      <w:tblGrid>
        <w:gridCol w:w="4182"/>
        <w:gridCol w:w="4136"/>
      </w:tblGrid>
      <w:tr w:rsidR="00265C00" w:rsidRPr="00913426" w:rsidTr="006F1D0D">
        <w:trPr>
          <w:jc w:val="center"/>
        </w:trPr>
        <w:tc>
          <w:tcPr>
            <w:tcW w:w="4944" w:type="dxa"/>
            <w:shd w:val="clear" w:color="auto" w:fill="FDE9D9" w:themeFill="accent6" w:themeFillTint="33"/>
          </w:tcPr>
          <w:p w:rsidR="009B59F8" w:rsidRPr="00913426" w:rsidRDefault="009B59F8" w:rsidP="00913426">
            <w:pPr>
              <w:jc w:val="center"/>
              <w:rPr>
                <w:b/>
              </w:rPr>
            </w:pPr>
            <w:r w:rsidRPr="00913426">
              <w:rPr>
                <w:b/>
              </w:rPr>
              <w:t xml:space="preserve">Key </w:t>
            </w:r>
            <w:r w:rsidR="006F1D0D" w:rsidRPr="00913426">
              <w:rPr>
                <w:b/>
              </w:rPr>
              <w:t>r</w:t>
            </w:r>
            <w:r w:rsidRPr="00913426">
              <w:rPr>
                <w:b/>
              </w:rPr>
              <w:t>isks</w:t>
            </w:r>
            <w:r w:rsidR="006F1D0D" w:rsidRPr="00913426">
              <w:rPr>
                <w:b/>
              </w:rPr>
              <w:t xml:space="preserve"> relating to erasure, rectification and the right to object</w:t>
            </w:r>
          </w:p>
        </w:tc>
        <w:tc>
          <w:tcPr>
            <w:tcW w:w="4945" w:type="dxa"/>
            <w:shd w:val="clear" w:color="auto" w:fill="FDE9D9" w:themeFill="accent6" w:themeFillTint="33"/>
          </w:tcPr>
          <w:p w:rsidR="009B59F8" w:rsidRPr="00913426" w:rsidRDefault="009B59F8" w:rsidP="00913426">
            <w:pPr>
              <w:jc w:val="center"/>
              <w:rPr>
                <w:b/>
              </w:rPr>
            </w:pPr>
            <w:r w:rsidRPr="00913426">
              <w:rPr>
                <w:b/>
              </w:rPr>
              <w:t>Mitigation</w:t>
            </w:r>
          </w:p>
        </w:tc>
      </w:tr>
      <w:tr w:rsidR="00265C00" w:rsidRPr="00913426" w:rsidTr="006F1D0D">
        <w:trPr>
          <w:jc w:val="center"/>
        </w:trPr>
        <w:tc>
          <w:tcPr>
            <w:tcW w:w="4944" w:type="dxa"/>
            <w:shd w:val="clear" w:color="auto" w:fill="FDE9D9" w:themeFill="accent6" w:themeFillTint="33"/>
          </w:tcPr>
          <w:p w:rsidR="009B59F8" w:rsidRPr="00913426" w:rsidRDefault="00153983" w:rsidP="00C17968">
            <w:r w:rsidRPr="00913426">
              <w:t xml:space="preserve">An individual makes a request </w:t>
            </w:r>
            <w:r w:rsidR="00BB4590" w:rsidRPr="00913426">
              <w:t xml:space="preserve">for erasure </w:t>
            </w:r>
            <w:r w:rsidRPr="00913426">
              <w:t xml:space="preserve">but </w:t>
            </w:r>
            <w:r w:rsidR="003C2260">
              <w:t>Stafford Fuels</w:t>
            </w:r>
            <w:r w:rsidRPr="00913426">
              <w:t xml:space="preserve">, as data controller, determines that there has not been a contravention </w:t>
            </w:r>
            <w:r w:rsidR="00BB4590" w:rsidRPr="00913426">
              <w:t xml:space="preserve">the relevant law </w:t>
            </w:r>
            <w:r w:rsidRPr="00913426">
              <w:t>and / or it is in the legitimate interests to continue.</w:t>
            </w:r>
          </w:p>
        </w:tc>
        <w:tc>
          <w:tcPr>
            <w:tcW w:w="4945" w:type="dxa"/>
            <w:shd w:val="clear" w:color="auto" w:fill="FDE9D9" w:themeFill="accent6" w:themeFillTint="33"/>
          </w:tcPr>
          <w:p w:rsidR="009B59F8" w:rsidRPr="00913426" w:rsidRDefault="00153983" w:rsidP="00265C00">
            <w:r w:rsidRPr="00913426">
              <w:t xml:space="preserve">The individual </w:t>
            </w:r>
            <w:r w:rsidR="001E2C82" w:rsidRPr="00913426">
              <w:t xml:space="preserve">may </w:t>
            </w:r>
            <w:r w:rsidR="00BB4590" w:rsidRPr="00913426">
              <w:t xml:space="preserve">apply to their local data protection regulator </w:t>
            </w:r>
            <w:r w:rsidR="00145700" w:rsidRPr="00913426">
              <w:t>for review</w:t>
            </w:r>
            <w:r w:rsidRPr="00913426">
              <w:t>.</w:t>
            </w:r>
            <w:r w:rsidR="00BB4590" w:rsidRPr="00913426">
              <w:t xml:space="preserve"> </w:t>
            </w:r>
            <w:r w:rsidR="00C17968">
              <w:t>[</w:t>
            </w:r>
            <w:r w:rsidR="00C17968" w:rsidRPr="00C17968">
              <w:rPr>
                <w:highlight w:val="yellow"/>
              </w:rPr>
              <w:t xml:space="preserve">note any relevant retention period in place and whether it is short enough to </w:t>
            </w:r>
            <w:r w:rsidR="009A572E">
              <w:rPr>
                <w:highlight w:val="yellow"/>
              </w:rPr>
              <w:t>constitute a mitigating factor</w:t>
            </w:r>
            <w:r w:rsidR="00C17968" w:rsidRPr="00C17968">
              <w:rPr>
                <w:highlight w:val="yellow"/>
              </w:rPr>
              <w:t>]</w:t>
            </w:r>
          </w:p>
        </w:tc>
      </w:tr>
    </w:tbl>
    <w:p w:rsidR="004877FF" w:rsidRPr="00913426" w:rsidRDefault="004877FF" w:rsidP="00913426"/>
    <w:p w:rsidR="00CB689B" w:rsidRPr="00CB689B" w:rsidRDefault="00CB689B" w:rsidP="00CB689B">
      <w:pPr>
        <w:pStyle w:val="ACLevel1"/>
        <w:keepNext/>
      </w:pPr>
      <w:r>
        <w:rPr>
          <w:rStyle w:val="ACLevel1asheadingtext"/>
        </w:rPr>
        <w:t>Residual/Unmitigated Risks</w:t>
      </w:r>
    </w:p>
    <w:p w:rsidR="004877FF" w:rsidRPr="003E513C" w:rsidRDefault="00133873" w:rsidP="003E513C">
      <w:pPr>
        <w:pStyle w:val="ACBody1"/>
      </w:pPr>
      <w:r w:rsidRPr="00913426">
        <w:t xml:space="preserve">Where a data protection impact assessment indicates that the processing </w:t>
      </w:r>
      <w:r w:rsidR="009A572E">
        <w:t xml:space="preserve">of the personal data </w:t>
      </w:r>
      <w:r w:rsidRPr="00913426">
        <w:t xml:space="preserve">would, in the absence of safeguards, security measures and mechanisms to mitigate the risk, result in a high risk to the rights and freedoms of natural persons and </w:t>
      </w:r>
      <w:r w:rsidR="003C2260">
        <w:t>Stafford Fuels</w:t>
      </w:r>
      <w:r w:rsidRPr="00913426">
        <w:t xml:space="preserve"> is of the </w:t>
      </w:r>
      <w:r w:rsidRPr="00913426">
        <w:lastRenderedPageBreak/>
        <w:t>opinion that the risk cannot be mitigated by reasonable means in terms of available technologies and costs of implementation, the supervisory authority should be consulted prior to the start of processing activities. Such high risk is likely to result from certain types of processing and the extent and frequency of processing, which may result also in a realisation of damage or interference with the rights and freedoms of the natural person. The supervisory authority should respond to the request for consultation within a specified period.</w:t>
      </w:r>
    </w:p>
    <w:sectPr w:rsidR="004877FF" w:rsidRPr="003E513C" w:rsidSect="00133873">
      <w:headerReference w:type="default" r:id="rId10"/>
      <w:footerReference w:type="default" r:id="rId11"/>
      <w:footerReference w:type="first" r:id="rId12"/>
      <w:pgSz w:w="11906" w:h="16838" w:code="9"/>
      <w:pgMar w:top="1440" w:right="1440" w:bottom="1440" w:left="1440"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9E" w:rsidRPr="00913426" w:rsidRDefault="009E239E" w:rsidP="00913426">
      <w:r w:rsidRPr="00913426">
        <w:separator/>
      </w:r>
    </w:p>
  </w:endnote>
  <w:endnote w:type="continuationSeparator" w:id="0">
    <w:p w:rsidR="009E239E" w:rsidRPr="00913426" w:rsidRDefault="009E239E" w:rsidP="00913426">
      <w:r w:rsidRPr="009134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58047"/>
      <w:docPartObj>
        <w:docPartGallery w:val="Page Numbers (Bottom of Page)"/>
        <w:docPartUnique/>
      </w:docPartObj>
    </w:sdtPr>
    <w:sdtEndPr>
      <w:rPr>
        <w:noProof/>
      </w:rPr>
    </w:sdtEndPr>
    <w:sdtContent>
      <w:p w:rsidR="00265C00" w:rsidRDefault="00265C00">
        <w:pPr>
          <w:pStyle w:val="Footer"/>
          <w:jc w:val="center"/>
        </w:pPr>
        <w:r>
          <w:fldChar w:fldCharType="begin"/>
        </w:r>
        <w:r>
          <w:instrText xml:space="preserve"> PAGE   \* MERGEFORMAT </w:instrText>
        </w:r>
        <w:r>
          <w:fldChar w:fldCharType="separate"/>
        </w:r>
        <w:r w:rsidR="00AB30D2">
          <w:rPr>
            <w:noProof/>
          </w:rPr>
          <w:t>6</w:t>
        </w:r>
        <w:r>
          <w:rPr>
            <w:noProof/>
          </w:rPr>
          <w:fldChar w:fldCharType="end"/>
        </w:r>
      </w:p>
    </w:sdtContent>
  </w:sdt>
  <w:p w:rsidR="00D721A8" w:rsidRPr="00913426" w:rsidRDefault="00D721A8" w:rsidP="00913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A8" w:rsidRPr="00913426" w:rsidRDefault="00D721A8" w:rsidP="00913426">
    <w:pPr>
      <w:pStyle w:val="Footer"/>
      <w:rPr>
        <w:smallCaps/>
      </w:rPr>
    </w:pPr>
    <w:r w:rsidRPr="00913426">
      <w:rPr>
        <w:smallCaps/>
      </w:rPr>
      <w:ptab w:relativeTo="margin" w:alignment="center" w:leader="none"/>
    </w:r>
    <w:r w:rsidR="00B46979" w:rsidRPr="00913426">
      <w:rPr>
        <w:smallCaps/>
      </w:rPr>
      <w:t xml:space="preserve">Private and </w:t>
    </w:r>
    <w:r w:rsidRPr="00913426">
      <w:rPr>
        <w:smallCaps/>
      </w:rPr>
      <w:t>Confidential</w:t>
    </w:r>
  </w:p>
  <w:p w:rsidR="00D721A8" w:rsidRPr="00913426" w:rsidRDefault="00D721A8" w:rsidP="00913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9E" w:rsidRPr="00913426" w:rsidRDefault="009E239E" w:rsidP="00913426">
      <w:r w:rsidRPr="00913426">
        <w:separator/>
      </w:r>
    </w:p>
  </w:footnote>
  <w:footnote w:type="continuationSeparator" w:id="0">
    <w:p w:rsidR="009E239E" w:rsidRPr="00913426" w:rsidRDefault="009E239E" w:rsidP="00913426">
      <w:r w:rsidRPr="00913426">
        <w:continuationSeparator/>
      </w:r>
    </w:p>
  </w:footnote>
  <w:footnote w:id="1">
    <w:p w:rsidR="00DF3C42" w:rsidRPr="00F81A47" w:rsidRDefault="00DF3C42" w:rsidP="00DF3C42">
      <w:pPr>
        <w:pStyle w:val="Body"/>
        <w:rPr>
          <w:sz w:val="18"/>
          <w:szCs w:val="18"/>
        </w:rPr>
      </w:pPr>
      <w:r w:rsidRPr="00F81A47">
        <w:rPr>
          <w:rStyle w:val="FootnoteReference"/>
        </w:rPr>
        <w:footnoteRef/>
      </w:r>
      <w:r w:rsidRPr="00F81A47">
        <w:t xml:space="preserve"> </w:t>
      </w:r>
      <w:r w:rsidR="009A572E" w:rsidRPr="00265C00">
        <w:rPr>
          <w:b/>
          <w:sz w:val="18"/>
          <w:szCs w:val="18"/>
          <w:u w:val="single"/>
        </w:rPr>
        <w:t>Explanatory Note</w:t>
      </w:r>
      <w:r w:rsidRPr="00F81A47">
        <w:rPr>
          <w:b/>
          <w:sz w:val="18"/>
          <w:szCs w:val="18"/>
        </w:rPr>
        <w:t>:</w:t>
      </w:r>
      <w:r w:rsidRPr="00F81A47">
        <w:rPr>
          <w:sz w:val="18"/>
          <w:szCs w:val="18"/>
        </w:rPr>
        <w:t xml:space="preserve"> The GDPR requires that, where processing operations are likely to result in a high risk to the rights and freedoms of individuals, the relevant </w:t>
      </w:r>
      <w:r w:rsidR="003C2260">
        <w:rPr>
          <w:sz w:val="18"/>
          <w:szCs w:val="18"/>
        </w:rPr>
        <w:t>Stafford Fuels</w:t>
      </w:r>
      <w:r w:rsidRPr="00F81A47">
        <w:rPr>
          <w:sz w:val="18"/>
          <w:szCs w:val="18"/>
        </w:rPr>
        <w:t xml:space="preserve"> company that is the data controller in the relevant instance, should be responsible for the carrying-out of a data protection impact assessment to evaluate, in particular, the origin, nature and severity of that risk. The outcome of the assessment should be used to determine the appropriate measures to be taken in order to demonstrate that the processing of personal data complies with the GDPR. Where a data-protection impact assessment indicates that processing operations involve a high risk which the controller cannot mitigate by appropriate measures in terms of available technology and costs of implementation, a consultation with the relevant data protection regulator should take place prior to the processing</w:t>
      </w:r>
      <w:r w:rsidR="00265C00">
        <w:rPr>
          <w:sz w:val="18"/>
          <w:szCs w:val="18"/>
        </w:rPr>
        <w:t>/use/deployment of the system or process under review</w:t>
      </w:r>
      <w:r w:rsidRPr="00F81A47">
        <w:rPr>
          <w:sz w:val="18"/>
          <w:szCs w:val="18"/>
        </w:rPr>
        <w:t>.</w:t>
      </w:r>
    </w:p>
    <w:p w:rsidR="00DF3C42" w:rsidRPr="00F81A47" w:rsidRDefault="00DF3C42" w:rsidP="00DF3C42">
      <w:pPr>
        <w:pStyle w:val="Body"/>
        <w:rPr>
          <w:sz w:val="18"/>
          <w:szCs w:val="18"/>
        </w:rPr>
      </w:pPr>
      <w:r w:rsidRPr="00F81A47">
        <w:rPr>
          <w:sz w:val="18"/>
          <w:szCs w:val="18"/>
        </w:rPr>
        <w:t xml:space="preserve">The GDPR notes that this should, in particular, apply to large-scale processing operations which aim to process a considerable amount of personal data at regional, national or </w:t>
      </w:r>
      <w:r w:rsidR="00265C00">
        <w:rPr>
          <w:sz w:val="18"/>
          <w:szCs w:val="18"/>
        </w:rPr>
        <w:t>global</w:t>
      </w:r>
      <w:r w:rsidR="00265C00" w:rsidRPr="00F81A47">
        <w:rPr>
          <w:sz w:val="18"/>
          <w:szCs w:val="18"/>
        </w:rPr>
        <w:t xml:space="preserve"> </w:t>
      </w:r>
      <w:r w:rsidRPr="00F81A47">
        <w:rPr>
          <w:sz w:val="18"/>
          <w:szCs w:val="18"/>
        </w:rPr>
        <w:t>level and which could affect a large number of data subjects and which are likely to result in a high risk</w:t>
      </w:r>
      <w:r w:rsidR="00265C00">
        <w:rPr>
          <w:sz w:val="18"/>
          <w:szCs w:val="18"/>
        </w:rPr>
        <w:t>.</w:t>
      </w:r>
      <w:r w:rsidRPr="00F81A47">
        <w:rPr>
          <w:sz w:val="18"/>
          <w:szCs w:val="18"/>
        </w:rPr>
        <w:t xml:space="preserve"> </w:t>
      </w:r>
      <w:r w:rsidR="00265C00">
        <w:rPr>
          <w:sz w:val="18"/>
          <w:szCs w:val="18"/>
        </w:rPr>
        <w:t>F</w:t>
      </w:r>
      <w:r w:rsidRPr="00F81A47">
        <w:rPr>
          <w:sz w:val="18"/>
          <w:szCs w:val="18"/>
        </w:rPr>
        <w:t>or example</w:t>
      </w:r>
      <w:r w:rsidR="00265C00">
        <w:rPr>
          <w:sz w:val="18"/>
          <w:szCs w:val="18"/>
        </w:rPr>
        <w:t xml:space="preserve"> this may arise </w:t>
      </w:r>
      <w:r w:rsidRPr="00F81A47">
        <w:rPr>
          <w:sz w:val="18"/>
          <w:szCs w:val="18"/>
        </w:rPr>
        <w:t xml:space="preserve">where a new technology is used on a large scale </w:t>
      </w:r>
      <w:r w:rsidR="00265C00">
        <w:rPr>
          <w:sz w:val="18"/>
          <w:szCs w:val="18"/>
        </w:rPr>
        <w:t>such that there is a</w:t>
      </w:r>
      <w:r w:rsidRPr="00F81A47">
        <w:rPr>
          <w:sz w:val="18"/>
          <w:szCs w:val="18"/>
        </w:rPr>
        <w:t xml:space="preserve"> high risk to the rights and freedoms of data subjects. A data protection impact assessment should also be made where personal data are processed for taking decisions regarding specific individuals following any evaluation of personal aspects relating to those individuals based on profiling or following the processing of sensitive or criminal data. A data protection impact assessment is equally required for monitoring publicly accessible areas on a large scale, such as CCTV or other instances viewed as high risk by a regulator, in particular because they prevent data subjects from exercising a right or using a service or a contract, or because they are carried out systematically on a large scale.</w:t>
      </w:r>
    </w:p>
    <w:p w:rsidR="00DF3C42" w:rsidRPr="00F81A47" w:rsidRDefault="00DF3C42" w:rsidP="00DF3C42">
      <w:pPr>
        <w:jc w:val="left"/>
        <w:rPr>
          <w:sz w:val="18"/>
          <w:szCs w:val="18"/>
        </w:rPr>
      </w:pPr>
      <w:r w:rsidRPr="00F81A47">
        <w:rPr>
          <w:sz w:val="18"/>
          <w:szCs w:val="18"/>
        </w:rPr>
        <w:t>There are circumstances where a single DPIA could cover more than a single</w:t>
      </w:r>
      <w:r w:rsidR="001A0D8A">
        <w:rPr>
          <w:sz w:val="18"/>
          <w:szCs w:val="18"/>
        </w:rPr>
        <w:t xml:space="preserve"> project, for example where</w:t>
      </w:r>
      <w:r w:rsidR="00AB30D2">
        <w:rPr>
          <w:sz w:val="18"/>
          <w:szCs w:val="18"/>
        </w:rPr>
        <w:t xml:space="preserve"> </w:t>
      </w:r>
      <w:r w:rsidR="003C2260">
        <w:rPr>
          <w:sz w:val="18"/>
          <w:szCs w:val="18"/>
        </w:rPr>
        <w:t>Stafford Fuels</w:t>
      </w:r>
      <w:r w:rsidRPr="00F81A47">
        <w:rPr>
          <w:sz w:val="18"/>
          <w:szCs w:val="18"/>
        </w:rPr>
        <w:t xml:space="preserve"> or several group companies intend to establish a common application or processing platform. Where appropriate, </w:t>
      </w:r>
      <w:r w:rsidR="003C2260">
        <w:rPr>
          <w:sz w:val="18"/>
          <w:szCs w:val="18"/>
        </w:rPr>
        <w:t>Stafford Fuels</w:t>
      </w:r>
      <w:r w:rsidRPr="00F81A47">
        <w:rPr>
          <w:sz w:val="18"/>
          <w:szCs w:val="18"/>
        </w:rPr>
        <w:t xml:space="preserve"> should seek the input from any relevant service providers (e.g. relevant platform provider) in completing th</w:t>
      </w:r>
      <w:r w:rsidR="00265C00">
        <w:rPr>
          <w:sz w:val="18"/>
          <w:szCs w:val="18"/>
        </w:rPr>
        <w:t>e</w:t>
      </w:r>
      <w:r w:rsidRPr="00F81A47">
        <w:rPr>
          <w:sz w:val="18"/>
          <w:szCs w:val="18"/>
        </w:rPr>
        <w:t xml:space="preserve"> DPIA.</w:t>
      </w:r>
    </w:p>
    <w:p w:rsidR="00DF3C42" w:rsidRDefault="00DF3C42" w:rsidP="00DF3C42">
      <w:pPr>
        <w:pStyle w:val="FootnoteText"/>
      </w:pPr>
    </w:p>
  </w:footnote>
  <w:footnote w:id="2">
    <w:p w:rsidR="009A572E" w:rsidRDefault="009A572E">
      <w:pPr>
        <w:pStyle w:val="FootnoteText"/>
      </w:pPr>
      <w:r>
        <w:rPr>
          <w:rStyle w:val="FootnoteReference"/>
        </w:rPr>
        <w:footnoteRef/>
      </w:r>
      <w:r>
        <w:t xml:space="preserve"> </w:t>
      </w:r>
      <w:r w:rsidRPr="00265C00">
        <w:rPr>
          <w:b/>
          <w:u w:val="single"/>
        </w:rPr>
        <w:t>Note</w:t>
      </w:r>
      <w:r>
        <w:t>: Amend accordingly to time at which the DPIA is being undertaken. If post 25 May 2018, do not include</w:t>
      </w:r>
      <w:r w:rsidR="00610BBA">
        <w:t xml:space="preserve"> the reference to the EU Directiv</w:t>
      </w:r>
      <w:r>
        <w:t>e or the due date for commencement of the GDPR.</w:t>
      </w:r>
    </w:p>
  </w:footnote>
  <w:footnote w:id="3">
    <w:p w:rsidR="00610BBA" w:rsidRDefault="00610BBA">
      <w:pPr>
        <w:pStyle w:val="FootnoteText"/>
      </w:pPr>
      <w:r>
        <w:rPr>
          <w:rStyle w:val="FootnoteReference"/>
        </w:rPr>
        <w:footnoteRef/>
      </w:r>
      <w:r>
        <w:t xml:space="preserve"> Amend as appropriate</w:t>
      </w:r>
    </w:p>
  </w:footnote>
  <w:footnote w:id="4">
    <w:p w:rsidR="00541668" w:rsidRDefault="00541668" w:rsidP="00541668">
      <w:pPr>
        <w:pStyle w:val="FootnoteText"/>
      </w:pPr>
      <w:r>
        <w:rPr>
          <w:rStyle w:val="FootnoteReference"/>
        </w:rPr>
        <w:footnoteRef/>
      </w:r>
      <w:r>
        <w:t xml:space="preserve"> </w:t>
      </w:r>
      <w:r w:rsidR="009A572E" w:rsidRPr="00265C00">
        <w:rPr>
          <w:b/>
          <w:u w:val="single"/>
        </w:rPr>
        <w:t>Note</w:t>
      </w:r>
      <w:r w:rsidR="009A572E">
        <w:t xml:space="preserve">: </w:t>
      </w:r>
      <w:r>
        <w:t>“</w:t>
      </w:r>
      <w:r w:rsidRPr="00265C00">
        <w:rPr>
          <w:b/>
        </w:rPr>
        <w:t>Special Categories of Personal Data</w:t>
      </w:r>
      <w:r w:rsidR="00E32142">
        <w:t>”</w:t>
      </w:r>
      <w:r>
        <w:t xml:space="preserve"> are defined</w:t>
      </w:r>
      <w:r w:rsidR="00E32142">
        <w:t xml:space="preserve"> in the GDPR</w:t>
      </w:r>
      <w:r>
        <w:t xml:space="preserve"> as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541668" w:rsidRDefault="00541668">
      <w:pPr>
        <w:pStyle w:val="FootnoteText"/>
      </w:pPr>
    </w:p>
  </w:footnote>
  <w:footnote w:id="5">
    <w:p w:rsidR="0055207E" w:rsidRDefault="0055207E">
      <w:pPr>
        <w:pStyle w:val="FootnoteText"/>
      </w:pPr>
      <w:r>
        <w:rPr>
          <w:rStyle w:val="FootnoteReference"/>
        </w:rPr>
        <w:footnoteRef/>
      </w:r>
      <w:r>
        <w:t xml:space="preserve"> </w:t>
      </w:r>
      <w:r w:rsidR="009A572E" w:rsidRPr="00265C00">
        <w:rPr>
          <w:b/>
          <w:u w:val="single"/>
        </w:rPr>
        <w:t>Note to draft</w:t>
      </w:r>
      <w:r w:rsidR="009A572E">
        <w:t xml:space="preserve">: </w:t>
      </w:r>
      <w:r>
        <w:t>Amend/update as required</w:t>
      </w:r>
      <w:r w:rsidR="009A572E">
        <w:t>.</w:t>
      </w:r>
    </w:p>
  </w:footnote>
  <w:footnote w:id="6">
    <w:p w:rsidR="00A33301" w:rsidRDefault="00EC3683" w:rsidP="00133873">
      <w:pPr>
        <w:pStyle w:val="FootnoteText"/>
      </w:pPr>
      <w:r w:rsidRPr="00913426">
        <w:rPr>
          <w:rStyle w:val="FootnoteReference"/>
        </w:rPr>
        <w:footnoteRef/>
      </w:r>
      <w:r w:rsidRPr="00913426">
        <w:t xml:space="preserve"> </w:t>
      </w:r>
      <w:r w:rsidR="009A572E" w:rsidRPr="00265C00">
        <w:rPr>
          <w:b/>
          <w:u w:val="single"/>
        </w:rPr>
        <w:t>Note to draft</w:t>
      </w:r>
      <w:r w:rsidR="009A572E">
        <w:t xml:space="preserve">: </w:t>
      </w:r>
      <w:r w:rsidRPr="00913426">
        <w:t>These are examples of relevant risks</w:t>
      </w:r>
      <w:r w:rsidR="009A572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A8" w:rsidRPr="00913426" w:rsidRDefault="00D721A8" w:rsidP="0091342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2536"/>
    <w:multiLevelType w:val="multilevel"/>
    <w:tmpl w:val="D46EDF64"/>
    <w:lvl w:ilvl="0">
      <w:start w:val="1"/>
      <w:numFmt w:val="decimal"/>
      <w:pStyle w:val="AC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C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AC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outline w:val="0"/>
        <w:shadow w:val="0"/>
        <w:emboss w:val="0"/>
        <w:imprint w:val="0"/>
        <w:vanish w:val="0"/>
        <w:sz w:val="22"/>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outline w:val="0"/>
        <w:shadow w:val="0"/>
        <w:emboss w:val="0"/>
        <w:imprint w:val="0"/>
        <w:vanish w:val="0"/>
        <w:sz w:val="22"/>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outline w:val="0"/>
        <w:shadow w:val="0"/>
        <w:emboss w:val="0"/>
        <w:imprint w:val="0"/>
        <w:vanish w:val="0"/>
        <w:sz w:val="22"/>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6C181BEC"/>
    <w:multiLevelType w:val="multilevel"/>
    <w:tmpl w:val="C6146042"/>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1">
      <w:start w:val="1"/>
      <w:numFmt w:val="decimal"/>
      <w:pStyle w:val="ACLevel2"/>
      <w:isLgl/>
      <w:lvlText w:val="%1.%2"/>
      <w:lvlJc w:val="left"/>
      <w:pPr>
        <w:tabs>
          <w:tab w:val="num" w:pos="1440"/>
        </w:tabs>
        <w:ind w:left="1440" w:hanging="720"/>
      </w:pPr>
      <w:rPr>
        <w:rFonts w:ascii="Times New Roman" w:hAnsi="Times New Roman"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4">
    <w:nsid w:val="6ED8F2C3"/>
    <w:multiLevelType w:val="multilevel"/>
    <w:tmpl w:val="0E6300AD"/>
    <w:lvl w:ilvl="0">
      <w:start w:val="1"/>
      <w:numFmt w:val="none"/>
      <w:pStyle w:val="AC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1"/>
  </w:num>
  <w:num w:numId="8">
    <w:abstractNumId w:val="1"/>
  </w:num>
  <w:num w:numId="9">
    <w:abstractNumId w:val="1"/>
  </w:num>
  <w:num w:numId="10">
    <w:abstractNumId w:val="1"/>
  </w:num>
  <w:num w:numId="11">
    <w:abstractNumId w:val="2"/>
  </w:num>
  <w:num w:numId="12">
    <w:abstractNumId w:val="2"/>
  </w:num>
  <w:num w:numId="13">
    <w:abstractNumId w:val="2"/>
  </w:num>
  <w:num w:numId="14">
    <w:abstractNumId w:val="2"/>
  </w:num>
  <w:num w:numId="15">
    <w:abstractNumId w:val="2"/>
  </w:num>
  <w:num w:numId="16">
    <w:abstractNumId w:val="0"/>
  </w:num>
  <w:num w:numId="17">
    <w:abstractNumId w:val="0"/>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 w:name="ACX_Brand" w:val="1"/>
  </w:docVars>
  <w:rsids>
    <w:rsidRoot w:val="0025602B"/>
    <w:rsid w:val="000020FC"/>
    <w:rsid w:val="00002143"/>
    <w:rsid w:val="00003009"/>
    <w:rsid w:val="00010BCB"/>
    <w:rsid w:val="00011FCB"/>
    <w:rsid w:val="00012F8D"/>
    <w:rsid w:val="00015A15"/>
    <w:rsid w:val="00020197"/>
    <w:rsid w:val="000204DC"/>
    <w:rsid w:val="000204EB"/>
    <w:rsid w:val="00023257"/>
    <w:rsid w:val="00023C0E"/>
    <w:rsid w:val="0002607E"/>
    <w:rsid w:val="000329CA"/>
    <w:rsid w:val="00036BAB"/>
    <w:rsid w:val="00041D79"/>
    <w:rsid w:val="00044BE4"/>
    <w:rsid w:val="00050A39"/>
    <w:rsid w:val="0005176D"/>
    <w:rsid w:val="000572DA"/>
    <w:rsid w:val="00062559"/>
    <w:rsid w:val="00063FBD"/>
    <w:rsid w:val="00064AB8"/>
    <w:rsid w:val="000756B6"/>
    <w:rsid w:val="000778B0"/>
    <w:rsid w:val="00081A10"/>
    <w:rsid w:val="000834E4"/>
    <w:rsid w:val="00085B13"/>
    <w:rsid w:val="000A0861"/>
    <w:rsid w:val="000A335A"/>
    <w:rsid w:val="000B00C0"/>
    <w:rsid w:val="000B31E4"/>
    <w:rsid w:val="000C0FDF"/>
    <w:rsid w:val="000C3581"/>
    <w:rsid w:val="000C3E8E"/>
    <w:rsid w:val="000C53BA"/>
    <w:rsid w:val="000D3729"/>
    <w:rsid w:val="000D7151"/>
    <w:rsid w:val="000D7A27"/>
    <w:rsid w:val="000E077A"/>
    <w:rsid w:val="000E16EB"/>
    <w:rsid w:val="000F2A0B"/>
    <w:rsid w:val="000F6621"/>
    <w:rsid w:val="00101652"/>
    <w:rsid w:val="00101E67"/>
    <w:rsid w:val="0010320E"/>
    <w:rsid w:val="00112DE6"/>
    <w:rsid w:val="00120247"/>
    <w:rsid w:val="0013085F"/>
    <w:rsid w:val="00130B73"/>
    <w:rsid w:val="001311AE"/>
    <w:rsid w:val="00133873"/>
    <w:rsid w:val="00133B4B"/>
    <w:rsid w:val="00134136"/>
    <w:rsid w:val="00135CAA"/>
    <w:rsid w:val="00145700"/>
    <w:rsid w:val="00153983"/>
    <w:rsid w:val="00154B22"/>
    <w:rsid w:val="00157419"/>
    <w:rsid w:val="00160DCD"/>
    <w:rsid w:val="00176209"/>
    <w:rsid w:val="00180122"/>
    <w:rsid w:val="0018081F"/>
    <w:rsid w:val="0018318D"/>
    <w:rsid w:val="00193768"/>
    <w:rsid w:val="00196002"/>
    <w:rsid w:val="001A0D8A"/>
    <w:rsid w:val="001A1218"/>
    <w:rsid w:val="001A486E"/>
    <w:rsid w:val="001A7F67"/>
    <w:rsid w:val="001B415C"/>
    <w:rsid w:val="001B7442"/>
    <w:rsid w:val="001C51A8"/>
    <w:rsid w:val="001D5DBD"/>
    <w:rsid w:val="001D6EB6"/>
    <w:rsid w:val="001D7DF2"/>
    <w:rsid w:val="001E1992"/>
    <w:rsid w:val="001E2C82"/>
    <w:rsid w:val="001E77C1"/>
    <w:rsid w:val="001F1682"/>
    <w:rsid w:val="0020374A"/>
    <w:rsid w:val="00205F29"/>
    <w:rsid w:val="00207EC6"/>
    <w:rsid w:val="002260E2"/>
    <w:rsid w:val="002304A7"/>
    <w:rsid w:val="00230C91"/>
    <w:rsid w:val="00233E97"/>
    <w:rsid w:val="002479D7"/>
    <w:rsid w:val="0025602B"/>
    <w:rsid w:val="002603B2"/>
    <w:rsid w:val="002625D7"/>
    <w:rsid w:val="00265C00"/>
    <w:rsid w:val="00275E20"/>
    <w:rsid w:val="00277147"/>
    <w:rsid w:val="00277B0D"/>
    <w:rsid w:val="002805D7"/>
    <w:rsid w:val="0028551E"/>
    <w:rsid w:val="0029254E"/>
    <w:rsid w:val="002962B9"/>
    <w:rsid w:val="00297412"/>
    <w:rsid w:val="002A23D3"/>
    <w:rsid w:val="002A6253"/>
    <w:rsid w:val="002B6771"/>
    <w:rsid w:val="002C69B0"/>
    <w:rsid w:val="002D1E05"/>
    <w:rsid w:val="002D28CC"/>
    <w:rsid w:val="002D2F8F"/>
    <w:rsid w:val="002D7113"/>
    <w:rsid w:val="002D7E6C"/>
    <w:rsid w:val="002E7DE9"/>
    <w:rsid w:val="002F154C"/>
    <w:rsid w:val="002F2E64"/>
    <w:rsid w:val="002F4606"/>
    <w:rsid w:val="003009F5"/>
    <w:rsid w:val="00302A72"/>
    <w:rsid w:val="0030501C"/>
    <w:rsid w:val="003124A2"/>
    <w:rsid w:val="0031373B"/>
    <w:rsid w:val="003165AA"/>
    <w:rsid w:val="0032797B"/>
    <w:rsid w:val="00334C25"/>
    <w:rsid w:val="00341F3A"/>
    <w:rsid w:val="0034289A"/>
    <w:rsid w:val="00343E15"/>
    <w:rsid w:val="00344E43"/>
    <w:rsid w:val="00350C9F"/>
    <w:rsid w:val="0035331D"/>
    <w:rsid w:val="00356A72"/>
    <w:rsid w:val="00357625"/>
    <w:rsid w:val="00357C5C"/>
    <w:rsid w:val="00364302"/>
    <w:rsid w:val="003719C7"/>
    <w:rsid w:val="0039366E"/>
    <w:rsid w:val="003949FF"/>
    <w:rsid w:val="00396860"/>
    <w:rsid w:val="00396F70"/>
    <w:rsid w:val="00397E8C"/>
    <w:rsid w:val="003A3627"/>
    <w:rsid w:val="003A539D"/>
    <w:rsid w:val="003B05AA"/>
    <w:rsid w:val="003B1892"/>
    <w:rsid w:val="003B7430"/>
    <w:rsid w:val="003C2260"/>
    <w:rsid w:val="003D6C50"/>
    <w:rsid w:val="003E513C"/>
    <w:rsid w:val="00404275"/>
    <w:rsid w:val="00406DEC"/>
    <w:rsid w:val="00407FEE"/>
    <w:rsid w:val="00411D1A"/>
    <w:rsid w:val="00412B2D"/>
    <w:rsid w:val="004176E8"/>
    <w:rsid w:val="00420E46"/>
    <w:rsid w:val="00431E29"/>
    <w:rsid w:val="00441756"/>
    <w:rsid w:val="00442ACC"/>
    <w:rsid w:val="00442F78"/>
    <w:rsid w:val="00444D59"/>
    <w:rsid w:val="00445D98"/>
    <w:rsid w:val="004541DF"/>
    <w:rsid w:val="00455E11"/>
    <w:rsid w:val="00461335"/>
    <w:rsid w:val="00461937"/>
    <w:rsid w:val="0046210B"/>
    <w:rsid w:val="00471606"/>
    <w:rsid w:val="004756F4"/>
    <w:rsid w:val="004877FF"/>
    <w:rsid w:val="0049099D"/>
    <w:rsid w:val="00490E5B"/>
    <w:rsid w:val="0049165D"/>
    <w:rsid w:val="004946CF"/>
    <w:rsid w:val="004974B0"/>
    <w:rsid w:val="004A7610"/>
    <w:rsid w:val="004C3FF1"/>
    <w:rsid w:val="004E225D"/>
    <w:rsid w:val="004E6193"/>
    <w:rsid w:val="00510193"/>
    <w:rsid w:val="00513A5A"/>
    <w:rsid w:val="00513D7B"/>
    <w:rsid w:val="00521FF7"/>
    <w:rsid w:val="00527020"/>
    <w:rsid w:val="00534A7D"/>
    <w:rsid w:val="00534D46"/>
    <w:rsid w:val="00535D04"/>
    <w:rsid w:val="00541668"/>
    <w:rsid w:val="0055207E"/>
    <w:rsid w:val="0055414D"/>
    <w:rsid w:val="0055484B"/>
    <w:rsid w:val="00556485"/>
    <w:rsid w:val="00561931"/>
    <w:rsid w:val="005665E2"/>
    <w:rsid w:val="0057164F"/>
    <w:rsid w:val="005716B4"/>
    <w:rsid w:val="0057768B"/>
    <w:rsid w:val="00582D1C"/>
    <w:rsid w:val="00590D12"/>
    <w:rsid w:val="00597FDE"/>
    <w:rsid w:val="005A3C57"/>
    <w:rsid w:val="005A5857"/>
    <w:rsid w:val="005A62A7"/>
    <w:rsid w:val="005A6658"/>
    <w:rsid w:val="005B3007"/>
    <w:rsid w:val="005B3F31"/>
    <w:rsid w:val="005B4453"/>
    <w:rsid w:val="005C4AAB"/>
    <w:rsid w:val="005C530A"/>
    <w:rsid w:val="005D0515"/>
    <w:rsid w:val="005E1750"/>
    <w:rsid w:val="005F4E21"/>
    <w:rsid w:val="005F5D92"/>
    <w:rsid w:val="00602774"/>
    <w:rsid w:val="00603BB4"/>
    <w:rsid w:val="006041C8"/>
    <w:rsid w:val="00604965"/>
    <w:rsid w:val="00606313"/>
    <w:rsid w:val="00610BBA"/>
    <w:rsid w:val="006157D2"/>
    <w:rsid w:val="00622C2A"/>
    <w:rsid w:val="006309E2"/>
    <w:rsid w:val="00631685"/>
    <w:rsid w:val="006353E5"/>
    <w:rsid w:val="00636EFE"/>
    <w:rsid w:val="0064190E"/>
    <w:rsid w:val="006464B8"/>
    <w:rsid w:val="0064759F"/>
    <w:rsid w:val="006555A4"/>
    <w:rsid w:val="00655F7A"/>
    <w:rsid w:val="00656594"/>
    <w:rsid w:val="00664B14"/>
    <w:rsid w:val="0067024A"/>
    <w:rsid w:val="00670BDF"/>
    <w:rsid w:val="006738E8"/>
    <w:rsid w:val="006774ED"/>
    <w:rsid w:val="0068019C"/>
    <w:rsid w:val="00694A2C"/>
    <w:rsid w:val="00696717"/>
    <w:rsid w:val="006A6C7E"/>
    <w:rsid w:val="006B20C4"/>
    <w:rsid w:val="006B2D3C"/>
    <w:rsid w:val="006B6571"/>
    <w:rsid w:val="006B7BF7"/>
    <w:rsid w:val="006F1D0D"/>
    <w:rsid w:val="006F7356"/>
    <w:rsid w:val="00710245"/>
    <w:rsid w:val="007119D4"/>
    <w:rsid w:val="007128EE"/>
    <w:rsid w:val="0071506E"/>
    <w:rsid w:val="0071611A"/>
    <w:rsid w:val="00724731"/>
    <w:rsid w:val="00727569"/>
    <w:rsid w:val="00731632"/>
    <w:rsid w:val="00733355"/>
    <w:rsid w:val="007379FA"/>
    <w:rsid w:val="00743113"/>
    <w:rsid w:val="007462D8"/>
    <w:rsid w:val="00756D17"/>
    <w:rsid w:val="00767FEA"/>
    <w:rsid w:val="00773C35"/>
    <w:rsid w:val="00780951"/>
    <w:rsid w:val="00784C5B"/>
    <w:rsid w:val="00786316"/>
    <w:rsid w:val="00793550"/>
    <w:rsid w:val="0079549B"/>
    <w:rsid w:val="007A33E6"/>
    <w:rsid w:val="007C6201"/>
    <w:rsid w:val="007C668B"/>
    <w:rsid w:val="007D7FFD"/>
    <w:rsid w:val="007E01F0"/>
    <w:rsid w:val="007E082A"/>
    <w:rsid w:val="007F39B2"/>
    <w:rsid w:val="007F49D9"/>
    <w:rsid w:val="007F65EE"/>
    <w:rsid w:val="00804143"/>
    <w:rsid w:val="008043DC"/>
    <w:rsid w:val="008044A2"/>
    <w:rsid w:val="00810412"/>
    <w:rsid w:val="00810D56"/>
    <w:rsid w:val="00811A9F"/>
    <w:rsid w:val="00813A9D"/>
    <w:rsid w:val="008176FE"/>
    <w:rsid w:val="00817CF8"/>
    <w:rsid w:val="00820AB4"/>
    <w:rsid w:val="0082166F"/>
    <w:rsid w:val="008225D9"/>
    <w:rsid w:val="00823664"/>
    <w:rsid w:val="00825263"/>
    <w:rsid w:val="00827F48"/>
    <w:rsid w:val="008322EE"/>
    <w:rsid w:val="00837A98"/>
    <w:rsid w:val="00841E74"/>
    <w:rsid w:val="00843378"/>
    <w:rsid w:val="00844791"/>
    <w:rsid w:val="00845CDA"/>
    <w:rsid w:val="00847706"/>
    <w:rsid w:val="00873587"/>
    <w:rsid w:val="0087427D"/>
    <w:rsid w:val="0087541E"/>
    <w:rsid w:val="00876210"/>
    <w:rsid w:val="008828FD"/>
    <w:rsid w:val="00891CC7"/>
    <w:rsid w:val="0089380E"/>
    <w:rsid w:val="008959C1"/>
    <w:rsid w:val="00897EEC"/>
    <w:rsid w:val="008A54BD"/>
    <w:rsid w:val="008B6634"/>
    <w:rsid w:val="008B6B80"/>
    <w:rsid w:val="008B79D8"/>
    <w:rsid w:val="008C6493"/>
    <w:rsid w:val="008C71AA"/>
    <w:rsid w:val="008E3F9E"/>
    <w:rsid w:val="008E591F"/>
    <w:rsid w:val="008F3325"/>
    <w:rsid w:val="008F3401"/>
    <w:rsid w:val="008F7621"/>
    <w:rsid w:val="00913426"/>
    <w:rsid w:val="009172A3"/>
    <w:rsid w:val="00917A74"/>
    <w:rsid w:val="00921866"/>
    <w:rsid w:val="00924540"/>
    <w:rsid w:val="009246EC"/>
    <w:rsid w:val="00924CCC"/>
    <w:rsid w:val="00925715"/>
    <w:rsid w:val="009407A5"/>
    <w:rsid w:val="00943D4F"/>
    <w:rsid w:val="009455E8"/>
    <w:rsid w:val="00951916"/>
    <w:rsid w:val="009533B8"/>
    <w:rsid w:val="0095679C"/>
    <w:rsid w:val="00956FF0"/>
    <w:rsid w:val="00960AF6"/>
    <w:rsid w:val="00964ADE"/>
    <w:rsid w:val="00967E59"/>
    <w:rsid w:val="00973EAA"/>
    <w:rsid w:val="00977DAF"/>
    <w:rsid w:val="0098534C"/>
    <w:rsid w:val="009912D5"/>
    <w:rsid w:val="0099293B"/>
    <w:rsid w:val="00995A97"/>
    <w:rsid w:val="009979B3"/>
    <w:rsid w:val="009A0B95"/>
    <w:rsid w:val="009A572E"/>
    <w:rsid w:val="009A6BBB"/>
    <w:rsid w:val="009B1EE8"/>
    <w:rsid w:val="009B3D98"/>
    <w:rsid w:val="009B59F8"/>
    <w:rsid w:val="009B738E"/>
    <w:rsid w:val="009C2615"/>
    <w:rsid w:val="009C6074"/>
    <w:rsid w:val="009C6C5C"/>
    <w:rsid w:val="009D4A50"/>
    <w:rsid w:val="009D608A"/>
    <w:rsid w:val="009D72CC"/>
    <w:rsid w:val="009E0EFB"/>
    <w:rsid w:val="009E239E"/>
    <w:rsid w:val="009E7F37"/>
    <w:rsid w:val="009F2068"/>
    <w:rsid w:val="009F3F55"/>
    <w:rsid w:val="009F5F68"/>
    <w:rsid w:val="009F619B"/>
    <w:rsid w:val="009F7958"/>
    <w:rsid w:val="00A07998"/>
    <w:rsid w:val="00A10B26"/>
    <w:rsid w:val="00A2092D"/>
    <w:rsid w:val="00A26072"/>
    <w:rsid w:val="00A33301"/>
    <w:rsid w:val="00A40845"/>
    <w:rsid w:val="00A466CB"/>
    <w:rsid w:val="00A46A5F"/>
    <w:rsid w:val="00A519EE"/>
    <w:rsid w:val="00A54082"/>
    <w:rsid w:val="00A57ACB"/>
    <w:rsid w:val="00A6004F"/>
    <w:rsid w:val="00A715EB"/>
    <w:rsid w:val="00A8314A"/>
    <w:rsid w:val="00A8379A"/>
    <w:rsid w:val="00A84F78"/>
    <w:rsid w:val="00A94DE9"/>
    <w:rsid w:val="00A97307"/>
    <w:rsid w:val="00AA2361"/>
    <w:rsid w:val="00AA54C4"/>
    <w:rsid w:val="00AA7AF7"/>
    <w:rsid w:val="00AB0B21"/>
    <w:rsid w:val="00AB1DFD"/>
    <w:rsid w:val="00AB30D2"/>
    <w:rsid w:val="00AD112E"/>
    <w:rsid w:val="00AD1F09"/>
    <w:rsid w:val="00AF03F0"/>
    <w:rsid w:val="00B00E58"/>
    <w:rsid w:val="00B012C6"/>
    <w:rsid w:val="00B05459"/>
    <w:rsid w:val="00B07AE5"/>
    <w:rsid w:val="00B100A9"/>
    <w:rsid w:val="00B16871"/>
    <w:rsid w:val="00B17B7B"/>
    <w:rsid w:val="00B235B5"/>
    <w:rsid w:val="00B34B4A"/>
    <w:rsid w:val="00B42556"/>
    <w:rsid w:val="00B44E18"/>
    <w:rsid w:val="00B46979"/>
    <w:rsid w:val="00B718BB"/>
    <w:rsid w:val="00B741BB"/>
    <w:rsid w:val="00B92761"/>
    <w:rsid w:val="00BB4590"/>
    <w:rsid w:val="00BB60CD"/>
    <w:rsid w:val="00BC5E73"/>
    <w:rsid w:val="00BC7769"/>
    <w:rsid w:val="00BC7D7A"/>
    <w:rsid w:val="00BD0689"/>
    <w:rsid w:val="00BD1483"/>
    <w:rsid w:val="00BD2A90"/>
    <w:rsid w:val="00BD4438"/>
    <w:rsid w:val="00BD5DC7"/>
    <w:rsid w:val="00BE4FD9"/>
    <w:rsid w:val="00C02DF4"/>
    <w:rsid w:val="00C107FA"/>
    <w:rsid w:val="00C17968"/>
    <w:rsid w:val="00C21818"/>
    <w:rsid w:val="00C22B0E"/>
    <w:rsid w:val="00C24EC8"/>
    <w:rsid w:val="00C264B4"/>
    <w:rsid w:val="00C275C5"/>
    <w:rsid w:val="00C3490B"/>
    <w:rsid w:val="00C37096"/>
    <w:rsid w:val="00C57410"/>
    <w:rsid w:val="00C57472"/>
    <w:rsid w:val="00C61D83"/>
    <w:rsid w:val="00C63FE9"/>
    <w:rsid w:val="00C644AB"/>
    <w:rsid w:val="00C6789A"/>
    <w:rsid w:val="00C70C36"/>
    <w:rsid w:val="00C765C3"/>
    <w:rsid w:val="00C85E9C"/>
    <w:rsid w:val="00C8792D"/>
    <w:rsid w:val="00C93D75"/>
    <w:rsid w:val="00C94BE7"/>
    <w:rsid w:val="00C96DB9"/>
    <w:rsid w:val="00CA355F"/>
    <w:rsid w:val="00CB03F7"/>
    <w:rsid w:val="00CB0CA3"/>
    <w:rsid w:val="00CB2465"/>
    <w:rsid w:val="00CB39F5"/>
    <w:rsid w:val="00CB689B"/>
    <w:rsid w:val="00CC1596"/>
    <w:rsid w:val="00CC366E"/>
    <w:rsid w:val="00CD3081"/>
    <w:rsid w:val="00CE0A92"/>
    <w:rsid w:val="00CE2076"/>
    <w:rsid w:val="00CE2ACE"/>
    <w:rsid w:val="00CE2EEF"/>
    <w:rsid w:val="00CE586D"/>
    <w:rsid w:val="00CE5BCE"/>
    <w:rsid w:val="00CE6777"/>
    <w:rsid w:val="00CF43BD"/>
    <w:rsid w:val="00CF4738"/>
    <w:rsid w:val="00D01B85"/>
    <w:rsid w:val="00D022CF"/>
    <w:rsid w:val="00D04B93"/>
    <w:rsid w:val="00D12B6B"/>
    <w:rsid w:val="00D16D61"/>
    <w:rsid w:val="00D21018"/>
    <w:rsid w:val="00D25657"/>
    <w:rsid w:val="00D3516D"/>
    <w:rsid w:val="00D52A94"/>
    <w:rsid w:val="00D70903"/>
    <w:rsid w:val="00D721A8"/>
    <w:rsid w:val="00D737BF"/>
    <w:rsid w:val="00D83D50"/>
    <w:rsid w:val="00D84127"/>
    <w:rsid w:val="00D86C66"/>
    <w:rsid w:val="00D87378"/>
    <w:rsid w:val="00D921A1"/>
    <w:rsid w:val="00D96FFE"/>
    <w:rsid w:val="00DB08AD"/>
    <w:rsid w:val="00DB2C06"/>
    <w:rsid w:val="00DC750B"/>
    <w:rsid w:val="00DD3B2E"/>
    <w:rsid w:val="00DD3C1F"/>
    <w:rsid w:val="00DD64FA"/>
    <w:rsid w:val="00DE0ECA"/>
    <w:rsid w:val="00DE4007"/>
    <w:rsid w:val="00DE69BB"/>
    <w:rsid w:val="00DF3C42"/>
    <w:rsid w:val="00E02BC1"/>
    <w:rsid w:val="00E03FCC"/>
    <w:rsid w:val="00E04499"/>
    <w:rsid w:val="00E0654C"/>
    <w:rsid w:val="00E21531"/>
    <w:rsid w:val="00E2161D"/>
    <w:rsid w:val="00E230FE"/>
    <w:rsid w:val="00E259C3"/>
    <w:rsid w:val="00E26B15"/>
    <w:rsid w:val="00E32142"/>
    <w:rsid w:val="00E363DE"/>
    <w:rsid w:val="00E4316E"/>
    <w:rsid w:val="00E4516C"/>
    <w:rsid w:val="00E46971"/>
    <w:rsid w:val="00E46CAB"/>
    <w:rsid w:val="00E46CC0"/>
    <w:rsid w:val="00E4708A"/>
    <w:rsid w:val="00E56A74"/>
    <w:rsid w:val="00E57D29"/>
    <w:rsid w:val="00E6065A"/>
    <w:rsid w:val="00E66A9B"/>
    <w:rsid w:val="00E82F5C"/>
    <w:rsid w:val="00E83E63"/>
    <w:rsid w:val="00E931E6"/>
    <w:rsid w:val="00E95DAE"/>
    <w:rsid w:val="00E96F54"/>
    <w:rsid w:val="00EB1760"/>
    <w:rsid w:val="00EB22B6"/>
    <w:rsid w:val="00EB4735"/>
    <w:rsid w:val="00EB5179"/>
    <w:rsid w:val="00EB799D"/>
    <w:rsid w:val="00EC01B2"/>
    <w:rsid w:val="00EC0DAE"/>
    <w:rsid w:val="00EC3184"/>
    <w:rsid w:val="00EC3683"/>
    <w:rsid w:val="00ED0322"/>
    <w:rsid w:val="00ED1F43"/>
    <w:rsid w:val="00EE0E2C"/>
    <w:rsid w:val="00EE2052"/>
    <w:rsid w:val="00EE4DE5"/>
    <w:rsid w:val="00EE5A19"/>
    <w:rsid w:val="00EE7E3E"/>
    <w:rsid w:val="00EF2055"/>
    <w:rsid w:val="00EF2FC6"/>
    <w:rsid w:val="00EF3546"/>
    <w:rsid w:val="00EF371F"/>
    <w:rsid w:val="00EF50D5"/>
    <w:rsid w:val="00EF71CA"/>
    <w:rsid w:val="00EF78AE"/>
    <w:rsid w:val="00F065DC"/>
    <w:rsid w:val="00F10606"/>
    <w:rsid w:val="00F16C55"/>
    <w:rsid w:val="00F17FA9"/>
    <w:rsid w:val="00F23767"/>
    <w:rsid w:val="00F23F78"/>
    <w:rsid w:val="00F242B3"/>
    <w:rsid w:val="00F259BB"/>
    <w:rsid w:val="00F3390E"/>
    <w:rsid w:val="00F417AB"/>
    <w:rsid w:val="00F518CF"/>
    <w:rsid w:val="00F51D11"/>
    <w:rsid w:val="00F5293B"/>
    <w:rsid w:val="00F63B7C"/>
    <w:rsid w:val="00F6578D"/>
    <w:rsid w:val="00F66115"/>
    <w:rsid w:val="00F75000"/>
    <w:rsid w:val="00F761E3"/>
    <w:rsid w:val="00F81A47"/>
    <w:rsid w:val="00F905B9"/>
    <w:rsid w:val="00F9458C"/>
    <w:rsid w:val="00F96F0C"/>
    <w:rsid w:val="00F97B91"/>
    <w:rsid w:val="00FA0A85"/>
    <w:rsid w:val="00FA3DA3"/>
    <w:rsid w:val="00FB0AA2"/>
    <w:rsid w:val="00FB43FE"/>
    <w:rsid w:val="00FB4A7C"/>
    <w:rsid w:val="00FB5E99"/>
    <w:rsid w:val="00FB5EB7"/>
    <w:rsid w:val="00FB7017"/>
    <w:rsid w:val="00FC1F8A"/>
    <w:rsid w:val="00FD1D15"/>
    <w:rsid w:val="00FD3608"/>
    <w:rsid w:val="00FD4510"/>
    <w:rsid w:val="00FE03E1"/>
    <w:rsid w:val="00FE23C1"/>
    <w:rsid w:val="00FE5292"/>
    <w:rsid w:val="00FE55C6"/>
    <w:rsid w:val="00FE63BA"/>
    <w:rsid w:val="00FE6549"/>
    <w:rsid w:val="00FF10D9"/>
    <w:rsid w:val="00FF2AB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Bidi" w:eastAsia="Times New Roman" w:hAnsiTheme="minorBidi" w:cs="Times New Roman"/>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73"/>
    <w:pPr>
      <w:adjustRightInd w:val="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3873"/>
    <w:pPr>
      <w:tabs>
        <w:tab w:val="center" w:pos="4153"/>
        <w:tab w:val="right" w:pos="8306"/>
      </w:tabs>
      <w:adjustRightInd/>
    </w:pPr>
    <w:rPr>
      <w:szCs w:val="24"/>
      <w:lang w:eastAsia="en-US"/>
    </w:rPr>
  </w:style>
  <w:style w:type="character" w:customStyle="1" w:styleId="HeaderChar">
    <w:name w:val="Header Char"/>
    <w:basedOn w:val="DefaultParagraphFont"/>
    <w:link w:val="Header"/>
    <w:uiPriority w:val="99"/>
    <w:rPr>
      <w:rFonts w:ascii="Times New Roman" w:hAnsi="Times New Roman"/>
      <w:szCs w:val="24"/>
      <w:lang w:eastAsia="en-US"/>
    </w:rPr>
  </w:style>
  <w:style w:type="paragraph" w:styleId="Footer">
    <w:name w:val="footer"/>
    <w:basedOn w:val="Normal"/>
    <w:link w:val="FooterChar"/>
    <w:uiPriority w:val="99"/>
    <w:rsid w:val="00133873"/>
    <w:pPr>
      <w:tabs>
        <w:tab w:val="center" w:pos="4153"/>
        <w:tab w:val="right" w:pos="8306"/>
      </w:tabs>
      <w:adjustRightInd/>
    </w:pPr>
    <w:rPr>
      <w:szCs w:val="24"/>
      <w:lang w:eastAsia="en-US"/>
    </w:rPr>
  </w:style>
  <w:style w:type="character" w:customStyle="1" w:styleId="FooterChar">
    <w:name w:val="Footer Char"/>
    <w:basedOn w:val="DefaultParagraphFont"/>
    <w:link w:val="Footer"/>
    <w:uiPriority w:val="99"/>
    <w:rPr>
      <w:rFonts w:ascii="Times New Roman" w:hAnsi="Times New Roman"/>
      <w:szCs w:val="24"/>
      <w:lang w:eastAsia="en-US"/>
    </w:rPr>
  </w:style>
  <w:style w:type="character" w:styleId="Hyperlink">
    <w:name w:val="Hyperlink"/>
    <w:basedOn w:val="DefaultParagraphFont"/>
    <w:uiPriority w:val="99"/>
    <w:unhideWhenUsed/>
    <w:rsid w:val="00DC750B"/>
    <w:rPr>
      <w:rFonts w:asciiTheme="minorBidi" w:hAnsiTheme="minorBidi" w:cs="Times New Roman"/>
      <w:color w:val="0000FF" w:themeColor="hyperlink"/>
      <w:u w:val="single"/>
    </w:rPr>
  </w:style>
  <w:style w:type="paragraph" w:styleId="FootnoteText">
    <w:name w:val="footnote text"/>
    <w:basedOn w:val="Normal"/>
    <w:link w:val="FootnoteTextChar"/>
    <w:uiPriority w:val="99"/>
    <w:rsid w:val="00133873"/>
    <w:pPr>
      <w:adjustRightInd/>
      <w:spacing w:after="100"/>
    </w:pPr>
    <w:rPr>
      <w:sz w:val="18"/>
      <w:szCs w:val="24"/>
      <w:lang w:eastAsia="en-US"/>
    </w:rPr>
  </w:style>
  <w:style w:type="character" w:customStyle="1" w:styleId="FootnoteTextChar">
    <w:name w:val="Footnote Text Char"/>
    <w:basedOn w:val="DefaultParagraphFont"/>
    <w:link w:val="FootnoteText"/>
    <w:uiPriority w:val="99"/>
    <w:rPr>
      <w:rFonts w:ascii="Times New Roman" w:hAnsi="Times New Roman"/>
      <w:sz w:val="18"/>
      <w:szCs w:val="24"/>
      <w:lang w:eastAsia="en-US"/>
    </w:rPr>
  </w:style>
  <w:style w:type="character" w:styleId="FootnoteReference">
    <w:name w:val="footnote reference"/>
    <w:basedOn w:val="DefaultParagraphFont"/>
    <w:uiPriority w:val="99"/>
    <w:rsid w:val="00133873"/>
    <w:rPr>
      <w:vertAlign w:val="superscript"/>
    </w:rPr>
  </w:style>
  <w:style w:type="character" w:styleId="CommentReference">
    <w:name w:val="annotation reference"/>
    <w:basedOn w:val="DefaultParagraphFont"/>
    <w:uiPriority w:val="99"/>
    <w:semiHidden/>
    <w:unhideWhenUsed/>
    <w:rsid w:val="00CF4738"/>
    <w:rPr>
      <w:rFonts w:cs="Times New Roman"/>
      <w:sz w:val="16"/>
      <w:szCs w:val="16"/>
    </w:rPr>
  </w:style>
  <w:style w:type="paragraph" w:styleId="CommentText">
    <w:name w:val="annotation text"/>
    <w:basedOn w:val="Normal"/>
    <w:link w:val="CommentTextChar"/>
    <w:uiPriority w:val="99"/>
    <w:semiHidden/>
    <w:unhideWhenUsed/>
    <w:rsid w:val="00CF4738"/>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rsid w:val="001B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873"/>
    <w:rPr>
      <w:rFonts w:ascii="Tahoma" w:hAnsi="Tahoma" w:cs="Tahoma"/>
      <w:sz w:val="16"/>
      <w:szCs w:val="16"/>
    </w:rPr>
  </w:style>
  <w:style w:type="character" w:customStyle="1" w:styleId="BalloonTextChar">
    <w:name w:val="Balloon Text Char"/>
    <w:basedOn w:val="DefaultParagraphFont"/>
    <w:link w:val="BalloonText"/>
    <w:uiPriority w:val="99"/>
    <w:semiHidden/>
    <w:rsid w:val="00133873"/>
    <w:rPr>
      <w:rFonts w:ascii="Tahoma" w:hAnsi="Tahoma" w:cs="Tahoma"/>
      <w:sz w:val="16"/>
      <w:szCs w:val="16"/>
    </w:rPr>
  </w:style>
  <w:style w:type="paragraph" w:customStyle="1" w:styleId="Body">
    <w:name w:val="Body"/>
    <w:basedOn w:val="Normal"/>
    <w:uiPriority w:val="99"/>
    <w:rsid w:val="00133873"/>
    <w:pPr>
      <w:spacing w:after="220"/>
    </w:pPr>
  </w:style>
  <w:style w:type="paragraph" w:customStyle="1" w:styleId="ACBody1">
    <w:name w:val="AC Body 1"/>
    <w:basedOn w:val="Body"/>
    <w:uiPriority w:val="99"/>
    <w:rsid w:val="00133873"/>
    <w:pPr>
      <w:ind w:left="720"/>
    </w:pPr>
  </w:style>
  <w:style w:type="paragraph" w:customStyle="1" w:styleId="ACLevel1">
    <w:name w:val="AC Level 1"/>
    <w:basedOn w:val="ACBody1"/>
    <w:uiPriority w:val="99"/>
    <w:rsid w:val="00133873"/>
    <w:pPr>
      <w:numPr>
        <w:numId w:val="5"/>
      </w:numPr>
      <w:outlineLvl w:val="0"/>
    </w:pPr>
  </w:style>
  <w:style w:type="character" w:customStyle="1" w:styleId="ACLevel1asheadingtext">
    <w:name w:val="AC Level 1 as heading (text)"/>
    <w:basedOn w:val="DefaultParagraphFont"/>
    <w:uiPriority w:val="99"/>
    <w:rsid w:val="00133873"/>
    <w:rPr>
      <w:b/>
      <w:bCs/>
    </w:rPr>
  </w:style>
  <w:style w:type="paragraph" w:customStyle="1" w:styleId="ACBody2">
    <w:name w:val="AC Body 2"/>
    <w:basedOn w:val="Body"/>
    <w:uiPriority w:val="99"/>
    <w:rsid w:val="00133873"/>
    <w:pPr>
      <w:ind w:left="1440"/>
    </w:pPr>
  </w:style>
  <w:style w:type="paragraph" w:customStyle="1" w:styleId="ACLevel2">
    <w:name w:val="AC Level 2"/>
    <w:basedOn w:val="ACBody2"/>
    <w:uiPriority w:val="99"/>
    <w:rsid w:val="00133873"/>
    <w:pPr>
      <w:numPr>
        <w:ilvl w:val="1"/>
        <w:numId w:val="5"/>
      </w:numPr>
      <w:outlineLvl w:val="1"/>
    </w:pPr>
  </w:style>
  <w:style w:type="character" w:customStyle="1" w:styleId="ACLevel2asheadingtext">
    <w:name w:val="AC Level 2 as heading (text)"/>
    <w:basedOn w:val="DefaultParagraphFont"/>
    <w:uiPriority w:val="99"/>
    <w:rsid w:val="00133873"/>
    <w:rPr>
      <w:b/>
      <w:bCs/>
    </w:rPr>
  </w:style>
  <w:style w:type="paragraph" w:customStyle="1" w:styleId="ACBody3">
    <w:name w:val="AC Body 3"/>
    <w:basedOn w:val="Body"/>
    <w:uiPriority w:val="99"/>
    <w:rsid w:val="00133873"/>
    <w:pPr>
      <w:ind w:left="2160"/>
    </w:pPr>
  </w:style>
  <w:style w:type="paragraph" w:customStyle="1" w:styleId="ACLevel3">
    <w:name w:val="AC Level 3"/>
    <w:basedOn w:val="ACBody3"/>
    <w:uiPriority w:val="99"/>
    <w:rsid w:val="00133873"/>
    <w:pPr>
      <w:numPr>
        <w:ilvl w:val="2"/>
        <w:numId w:val="5"/>
      </w:numPr>
      <w:outlineLvl w:val="2"/>
    </w:pPr>
  </w:style>
  <w:style w:type="character" w:customStyle="1" w:styleId="ACLevel3asheadingtext">
    <w:name w:val="AC Level 3 as heading (text)"/>
    <w:basedOn w:val="DefaultParagraphFont"/>
    <w:uiPriority w:val="99"/>
    <w:rsid w:val="00133873"/>
    <w:rPr>
      <w:b/>
      <w:bCs/>
    </w:rPr>
  </w:style>
  <w:style w:type="paragraph" w:customStyle="1" w:styleId="ACBody4">
    <w:name w:val="AC Body 4"/>
    <w:basedOn w:val="Body"/>
    <w:uiPriority w:val="99"/>
    <w:rsid w:val="00133873"/>
    <w:pPr>
      <w:ind w:left="2880"/>
    </w:pPr>
  </w:style>
  <w:style w:type="paragraph" w:customStyle="1" w:styleId="ACLevel4">
    <w:name w:val="AC Level 4"/>
    <w:basedOn w:val="ACBody4"/>
    <w:uiPriority w:val="99"/>
    <w:rsid w:val="00133873"/>
    <w:pPr>
      <w:numPr>
        <w:ilvl w:val="3"/>
        <w:numId w:val="5"/>
      </w:numPr>
      <w:outlineLvl w:val="3"/>
    </w:pPr>
  </w:style>
  <w:style w:type="paragraph" w:customStyle="1" w:styleId="ACBody5">
    <w:name w:val="AC Body 5"/>
    <w:basedOn w:val="Body"/>
    <w:uiPriority w:val="99"/>
    <w:rsid w:val="00133873"/>
    <w:pPr>
      <w:ind w:left="3600"/>
    </w:pPr>
  </w:style>
  <w:style w:type="paragraph" w:customStyle="1" w:styleId="ACLevel5">
    <w:name w:val="AC Level 5"/>
    <w:basedOn w:val="ACBody5"/>
    <w:uiPriority w:val="99"/>
    <w:rsid w:val="00133873"/>
    <w:pPr>
      <w:numPr>
        <w:ilvl w:val="4"/>
        <w:numId w:val="5"/>
      </w:numPr>
      <w:outlineLvl w:val="4"/>
    </w:pPr>
  </w:style>
  <w:style w:type="paragraph" w:customStyle="1" w:styleId="ACSchLv1">
    <w:name w:val="AC Sch Lv 1"/>
    <w:basedOn w:val="ACBody1"/>
    <w:uiPriority w:val="99"/>
    <w:rsid w:val="00133873"/>
    <w:pPr>
      <w:numPr>
        <w:numId w:val="10"/>
      </w:numPr>
      <w:outlineLvl w:val="0"/>
    </w:pPr>
  </w:style>
  <w:style w:type="character" w:customStyle="1" w:styleId="ACSchLv1asheadingtext">
    <w:name w:val="AC Sch Lv 1 as heading (text)"/>
    <w:basedOn w:val="DefaultParagraphFont"/>
    <w:uiPriority w:val="99"/>
    <w:rsid w:val="00133873"/>
    <w:rPr>
      <w:b/>
      <w:bCs/>
    </w:rPr>
  </w:style>
  <w:style w:type="paragraph" w:customStyle="1" w:styleId="ACSchLv2">
    <w:name w:val="AC Sch Lv 2"/>
    <w:basedOn w:val="ACBody2"/>
    <w:uiPriority w:val="99"/>
    <w:rsid w:val="00133873"/>
    <w:pPr>
      <w:numPr>
        <w:ilvl w:val="1"/>
        <w:numId w:val="10"/>
      </w:numPr>
      <w:outlineLvl w:val="1"/>
    </w:pPr>
  </w:style>
  <w:style w:type="character" w:customStyle="1" w:styleId="ACSchLv2asheadingtext">
    <w:name w:val="AC Sch Lv 2 as heading (text)"/>
    <w:basedOn w:val="DefaultParagraphFont"/>
    <w:uiPriority w:val="99"/>
    <w:rsid w:val="00133873"/>
    <w:rPr>
      <w:b/>
      <w:bCs/>
    </w:rPr>
  </w:style>
  <w:style w:type="paragraph" w:customStyle="1" w:styleId="ACSchLv3">
    <w:name w:val="AC Sch Lv 3"/>
    <w:basedOn w:val="ACBody3"/>
    <w:uiPriority w:val="99"/>
    <w:rsid w:val="00133873"/>
    <w:pPr>
      <w:numPr>
        <w:ilvl w:val="2"/>
        <w:numId w:val="10"/>
      </w:numPr>
      <w:outlineLvl w:val="2"/>
    </w:pPr>
  </w:style>
  <w:style w:type="character" w:customStyle="1" w:styleId="ACSchLv3asheadingtext">
    <w:name w:val="AC Sch Lv 3 as heading (text)"/>
    <w:basedOn w:val="DefaultParagraphFont"/>
    <w:uiPriority w:val="99"/>
    <w:rsid w:val="00133873"/>
    <w:rPr>
      <w:b/>
      <w:bCs/>
    </w:rPr>
  </w:style>
  <w:style w:type="paragraph" w:customStyle="1" w:styleId="ACSchLv4">
    <w:name w:val="AC Sch Lv 4"/>
    <w:basedOn w:val="ACBody4"/>
    <w:uiPriority w:val="99"/>
    <w:rsid w:val="00133873"/>
    <w:pPr>
      <w:numPr>
        <w:ilvl w:val="3"/>
        <w:numId w:val="10"/>
      </w:numPr>
      <w:outlineLvl w:val="3"/>
    </w:pPr>
  </w:style>
  <w:style w:type="paragraph" w:customStyle="1" w:styleId="ACSchLv5">
    <w:name w:val="AC Sch Lv 5"/>
    <w:basedOn w:val="ACBody5"/>
    <w:uiPriority w:val="99"/>
    <w:rsid w:val="00133873"/>
    <w:pPr>
      <w:numPr>
        <w:ilvl w:val="4"/>
        <w:numId w:val="10"/>
      </w:numPr>
      <w:outlineLvl w:val="4"/>
    </w:pPr>
  </w:style>
  <w:style w:type="paragraph" w:customStyle="1" w:styleId="ACBulletLv1">
    <w:name w:val="AC Bullet Lv 1"/>
    <w:basedOn w:val="ACBody1"/>
    <w:uiPriority w:val="99"/>
    <w:rsid w:val="00133873"/>
    <w:pPr>
      <w:numPr>
        <w:numId w:val="15"/>
      </w:numPr>
      <w:outlineLvl w:val="0"/>
    </w:pPr>
  </w:style>
  <w:style w:type="paragraph" w:customStyle="1" w:styleId="ACBulletLv2">
    <w:name w:val="AC Bullet Lv 2"/>
    <w:basedOn w:val="ACBody2"/>
    <w:uiPriority w:val="99"/>
    <w:rsid w:val="00133873"/>
    <w:pPr>
      <w:numPr>
        <w:ilvl w:val="1"/>
        <w:numId w:val="15"/>
      </w:numPr>
      <w:outlineLvl w:val="1"/>
    </w:pPr>
  </w:style>
  <w:style w:type="paragraph" w:customStyle="1" w:styleId="ACBulletLv3">
    <w:name w:val="AC Bullet Lv 3"/>
    <w:basedOn w:val="ACBody3"/>
    <w:uiPriority w:val="99"/>
    <w:rsid w:val="00133873"/>
    <w:pPr>
      <w:numPr>
        <w:ilvl w:val="2"/>
        <w:numId w:val="15"/>
      </w:numPr>
      <w:outlineLvl w:val="2"/>
    </w:pPr>
  </w:style>
  <w:style w:type="paragraph" w:customStyle="1" w:styleId="ACBulletLv4">
    <w:name w:val="AC Bullet Lv 4"/>
    <w:basedOn w:val="ACBody4"/>
    <w:uiPriority w:val="99"/>
    <w:rsid w:val="00133873"/>
    <w:pPr>
      <w:numPr>
        <w:ilvl w:val="3"/>
        <w:numId w:val="15"/>
      </w:numPr>
      <w:outlineLvl w:val="3"/>
    </w:pPr>
  </w:style>
  <w:style w:type="paragraph" w:customStyle="1" w:styleId="ACBulletLv5">
    <w:name w:val="AC Bullet Lv 5"/>
    <w:basedOn w:val="ACBody5"/>
    <w:uiPriority w:val="99"/>
    <w:rsid w:val="00133873"/>
    <w:pPr>
      <w:numPr>
        <w:ilvl w:val="4"/>
        <w:numId w:val="15"/>
      </w:numPr>
      <w:outlineLvl w:val="4"/>
    </w:pPr>
  </w:style>
  <w:style w:type="paragraph" w:customStyle="1" w:styleId="ACAppendix">
    <w:name w:val="AC Appendix"/>
    <w:basedOn w:val="Body"/>
    <w:next w:val="ACSubHeading"/>
    <w:uiPriority w:val="99"/>
    <w:rsid w:val="00133873"/>
    <w:pPr>
      <w:keepNext/>
      <w:keepLines/>
      <w:numPr>
        <w:ilvl w:val="1"/>
        <w:numId w:val="18"/>
      </w:numPr>
      <w:jc w:val="center"/>
    </w:pPr>
    <w:rPr>
      <w:b/>
      <w:bCs/>
    </w:rPr>
  </w:style>
  <w:style w:type="paragraph" w:customStyle="1" w:styleId="ACPart">
    <w:name w:val="AC Part"/>
    <w:basedOn w:val="Body"/>
    <w:next w:val="ACSubHeading"/>
    <w:uiPriority w:val="99"/>
    <w:rsid w:val="00133873"/>
    <w:pPr>
      <w:keepNext/>
      <w:keepLines/>
      <w:numPr>
        <w:ilvl w:val="2"/>
        <w:numId w:val="18"/>
      </w:numPr>
      <w:jc w:val="center"/>
    </w:pPr>
  </w:style>
  <w:style w:type="paragraph" w:customStyle="1" w:styleId="ACSchedule">
    <w:name w:val="AC Schedule"/>
    <w:basedOn w:val="Body"/>
    <w:next w:val="ACSubHeading"/>
    <w:uiPriority w:val="99"/>
    <w:rsid w:val="00133873"/>
    <w:pPr>
      <w:keepNext/>
      <w:keepLines/>
      <w:numPr>
        <w:numId w:val="18"/>
      </w:numPr>
      <w:jc w:val="center"/>
    </w:pPr>
    <w:rPr>
      <w:b/>
      <w:bCs/>
    </w:rPr>
  </w:style>
  <w:style w:type="paragraph" w:customStyle="1" w:styleId="ACSubHeading">
    <w:name w:val="AC Sub Heading"/>
    <w:basedOn w:val="Body"/>
    <w:next w:val="Body"/>
    <w:uiPriority w:val="99"/>
    <w:rsid w:val="00133873"/>
    <w:pPr>
      <w:keepNext/>
      <w:keepLines/>
      <w:numPr>
        <w:numId w:val="19"/>
      </w:numPr>
      <w:jc w:val="center"/>
    </w:pPr>
    <w:rPr>
      <w:b/>
      <w:bCs/>
    </w:rPr>
  </w:style>
  <w:style w:type="paragraph" w:styleId="EndnoteText">
    <w:name w:val="endnote text"/>
    <w:basedOn w:val="Normal"/>
    <w:link w:val="EndnoteTextChar"/>
    <w:semiHidden/>
    <w:rsid w:val="00133873"/>
    <w:pPr>
      <w:adjustRightInd/>
      <w:spacing w:after="100"/>
    </w:pPr>
    <w:rPr>
      <w:sz w:val="18"/>
      <w:szCs w:val="24"/>
      <w:lang w:eastAsia="en-US"/>
    </w:rPr>
  </w:style>
  <w:style w:type="character" w:customStyle="1" w:styleId="EndnoteTextChar">
    <w:name w:val="Endnote Text Char"/>
    <w:basedOn w:val="DefaultParagraphFont"/>
    <w:link w:val="EndnoteText"/>
    <w:semiHidden/>
    <w:rsid w:val="00133873"/>
    <w:rPr>
      <w:rFonts w:ascii="Times New Roman" w:hAnsi="Times New Roman"/>
      <w:sz w:val="18"/>
      <w:szCs w:val="24"/>
      <w:lang w:eastAsia="en-US"/>
    </w:rPr>
  </w:style>
  <w:style w:type="character" w:styleId="EndnoteReference">
    <w:name w:val="endnote reference"/>
    <w:basedOn w:val="DefaultParagraphFont"/>
    <w:semiHidden/>
    <w:rsid w:val="00133873"/>
    <w:rPr>
      <w:vertAlign w:val="superscript"/>
    </w:rPr>
  </w:style>
  <w:style w:type="paragraph" w:styleId="TOC1">
    <w:name w:val="toc 1"/>
    <w:basedOn w:val="Normal"/>
    <w:next w:val="Normal"/>
    <w:semiHidden/>
    <w:rsid w:val="00133873"/>
    <w:pPr>
      <w:tabs>
        <w:tab w:val="right" w:leader="dot" w:pos="9000"/>
      </w:tabs>
      <w:adjustRightInd/>
      <w:ind w:left="720" w:right="720" w:hanging="720"/>
    </w:pPr>
    <w:rPr>
      <w:caps/>
      <w:szCs w:val="24"/>
      <w:lang w:eastAsia="en-US"/>
    </w:rPr>
  </w:style>
  <w:style w:type="paragraph" w:styleId="TOC2">
    <w:name w:val="toc 2"/>
    <w:basedOn w:val="TOC1"/>
    <w:next w:val="Normal"/>
    <w:semiHidden/>
    <w:rsid w:val="00133873"/>
    <w:pPr>
      <w:ind w:left="1440"/>
    </w:pPr>
    <w:rPr>
      <w:caps w:val="0"/>
    </w:rPr>
  </w:style>
  <w:style w:type="paragraph" w:styleId="TOC3">
    <w:name w:val="toc 3"/>
    <w:basedOn w:val="TOC1"/>
    <w:next w:val="Normal"/>
    <w:semiHidden/>
    <w:rsid w:val="00133873"/>
    <w:pPr>
      <w:ind w:left="2160"/>
    </w:pPr>
    <w:rPr>
      <w:caps w:val="0"/>
    </w:rPr>
  </w:style>
  <w:style w:type="paragraph" w:styleId="TOC4">
    <w:name w:val="toc 4"/>
    <w:basedOn w:val="TOC1"/>
    <w:next w:val="Normal"/>
    <w:semiHidden/>
    <w:rsid w:val="00133873"/>
    <w:pPr>
      <w:spacing w:before="240"/>
      <w:ind w:left="0" w:firstLine="0"/>
    </w:pPr>
    <w:rPr>
      <w:b/>
    </w:rPr>
  </w:style>
  <w:style w:type="paragraph" w:styleId="TOC5">
    <w:name w:val="toc 5"/>
    <w:basedOn w:val="TOC1"/>
    <w:next w:val="Normal"/>
    <w:semiHidden/>
    <w:rsid w:val="00133873"/>
    <w:pPr>
      <w:ind w:left="0" w:firstLine="0"/>
    </w:pPr>
  </w:style>
  <w:style w:type="paragraph" w:styleId="TOC6">
    <w:name w:val="toc 6"/>
    <w:basedOn w:val="TOC1"/>
    <w:next w:val="Normal"/>
    <w:semiHidden/>
    <w:rsid w:val="00133873"/>
    <w:pPr>
      <w:ind w:firstLine="0"/>
    </w:pPr>
    <w:rPr>
      <w:caps w:val="0"/>
    </w:rPr>
  </w:style>
  <w:style w:type="paragraph" w:styleId="CommentSubject">
    <w:name w:val="annotation subject"/>
    <w:basedOn w:val="CommentText"/>
    <w:next w:val="CommentText"/>
    <w:link w:val="CommentSubjectChar"/>
    <w:uiPriority w:val="99"/>
    <w:semiHidden/>
    <w:unhideWhenUsed/>
    <w:rsid w:val="0055207E"/>
    <w:rPr>
      <w:b/>
      <w:bCs/>
      <w:sz w:val="20"/>
      <w:szCs w:val="20"/>
    </w:rPr>
  </w:style>
  <w:style w:type="character" w:customStyle="1" w:styleId="CommentSubjectChar">
    <w:name w:val="Comment Subject Char"/>
    <w:basedOn w:val="CommentTextChar"/>
    <w:link w:val="CommentSubject"/>
    <w:uiPriority w:val="99"/>
    <w:semiHidden/>
    <w:rsid w:val="0055207E"/>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Bidi" w:eastAsia="Times New Roman" w:hAnsiTheme="minorBidi" w:cs="Times New Roman"/>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73"/>
    <w:pPr>
      <w:adjustRightInd w:val="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3873"/>
    <w:pPr>
      <w:tabs>
        <w:tab w:val="center" w:pos="4153"/>
        <w:tab w:val="right" w:pos="8306"/>
      </w:tabs>
      <w:adjustRightInd/>
    </w:pPr>
    <w:rPr>
      <w:szCs w:val="24"/>
      <w:lang w:eastAsia="en-US"/>
    </w:rPr>
  </w:style>
  <w:style w:type="character" w:customStyle="1" w:styleId="HeaderChar">
    <w:name w:val="Header Char"/>
    <w:basedOn w:val="DefaultParagraphFont"/>
    <w:link w:val="Header"/>
    <w:uiPriority w:val="99"/>
    <w:rPr>
      <w:rFonts w:ascii="Times New Roman" w:hAnsi="Times New Roman"/>
      <w:szCs w:val="24"/>
      <w:lang w:eastAsia="en-US"/>
    </w:rPr>
  </w:style>
  <w:style w:type="paragraph" w:styleId="Footer">
    <w:name w:val="footer"/>
    <w:basedOn w:val="Normal"/>
    <w:link w:val="FooterChar"/>
    <w:uiPriority w:val="99"/>
    <w:rsid w:val="00133873"/>
    <w:pPr>
      <w:tabs>
        <w:tab w:val="center" w:pos="4153"/>
        <w:tab w:val="right" w:pos="8306"/>
      </w:tabs>
      <w:adjustRightInd/>
    </w:pPr>
    <w:rPr>
      <w:szCs w:val="24"/>
      <w:lang w:eastAsia="en-US"/>
    </w:rPr>
  </w:style>
  <w:style w:type="character" w:customStyle="1" w:styleId="FooterChar">
    <w:name w:val="Footer Char"/>
    <w:basedOn w:val="DefaultParagraphFont"/>
    <w:link w:val="Footer"/>
    <w:uiPriority w:val="99"/>
    <w:rPr>
      <w:rFonts w:ascii="Times New Roman" w:hAnsi="Times New Roman"/>
      <w:szCs w:val="24"/>
      <w:lang w:eastAsia="en-US"/>
    </w:rPr>
  </w:style>
  <w:style w:type="character" w:styleId="Hyperlink">
    <w:name w:val="Hyperlink"/>
    <w:basedOn w:val="DefaultParagraphFont"/>
    <w:uiPriority w:val="99"/>
    <w:unhideWhenUsed/>
    <w:rsid w:val="00DC750B"/>
    <w:rPr>
      <w:rFonts w:asciiTheme="minorBidi" w:hAnsiTheme="minorBidi" w:cs="Times New Roman"/>
      <w:color w:val="0000FF" w:themeColor="hyperlink"/>
      <w:u w:val="single"/>
    </w:rPr>
  </w:style>
  <w:style w:type="paragraph" w:styleId="FootnoteText">
    <w:name w:val="footnote text"/>
    <w:basedOn w:val="Normal"/>
    <w:link w:val="FootnoteTextChar"/>
    <w:uiPriority w:val="99"/>
    <w:rsid w:val="00133873"/>
    <w:pPr>
      <w:adjustRightInd/>
      <w:spacing w:after="100"/>
    </w:pPr>
    <w:rPr>
      <w:sz w:val="18"/>
      <w:szCs w:val="24"/>
      <w:lang w:eastAsia="en-US"/>
    </w:rPr>
  </w:style>
  <w:style w:type="character" w:customStyle="1" w:styleId="FootnoteTextChar">
    <w:name w:val="Footnote Text Char"/>
    <w:basedOn w:val="DefaultParagraphFont"/>
    <w:link w:val="FootnoteText"/>
    <w:uiPriority w:val="99"/>
    <w:rPr>
      <w:rFonts w:ascii="Times New Roman" w:hAnsi="Times New Roman"/>
      <w:sz w:val="18"/>
      <w:szCs w:val="24"/>
      <w:lang w:eastAsia="en-US"/>
    </w:rPr>
  </w:style>
  <w:style w:type="character" w:styleId="FootnoteReference">
    <w:name w:val="footnote reference"/>
    <w:basedOn w:val="DefaultParagraphFont"/>
    <w:uiPriority w:val="99"/>
    <w:rsid w:val="00133873"/>
    <w:rPr>
      <w:vertAlign w:val="superscript"/>
    </w:rPr>
  </w:style>
  <w:style w:type="character" w:styleId="CommentReference">
    <w:name w:val="annotation reference"/>
    <w:basedOn w:val="DefaultParagraphFont"/>
    <w:uiPriority w:val="99"/>
    <w:semiHidden/>
    <w:unhideWhenUsed/>
    <w:rsid w:val="00CF4738"/>
    <w:rPr>
      <w:rFonts w:cs="Times New Roman"/>
      <w:sz w:val="16"/>
      <w:szCs w:val="16"/>
    </w:rPr>
  </w:style>
  <w:style w:type="paragraph" w:styleId="CommentText">
    <w:name w:val="annotation text"/>
    <w:basedOn w:val="Normal"/>
    <w:link w:val="CommentTextChar"/>
    <w:uiPriority w:val="99"/>
    <w:semiHidden/>
    <w:unhideWhenUsed/>
    <w:rsid w:val="00CF4738"/>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rsid w:val="001B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873"/>
    <w:rPr>
      <w:rFonts w:ascii="Tahoma" w:hAnsi="Tahoma" w:cs="Tahoma"/>
      <w:sz w:val="16"/>
      <w:szCs w:val="16"/>
    </w:rPr>
  </w:style>
  <w:style w:type="character" w:customStyle="1" w:styleId="BalloonTextChar">
    <w:name w:val="Balloon Text Char"/>
    <w:basedOn w:val="DefaultParagraphFont"/>
    <w:link w:val="BalloonText"/>
    <w:uiPriority w:val="99"/>
    <w:semiHidden/>
    <w:rsid w:val="00133873"/>
    <w:rPr>
      <w:rFonts w:ascii="Tahoma" w:hAnsi="Tahoma" w:cs="Tahoma"/>
      <w:sz w:val="16"/>
      <w:szCs w:val="16"/>
    </w:rPr>
  </w:style>
  <w:style w:type="paragraph" w:customStyle="1" w:styleId="Body">
    <w:name w:val="Body"/>
    <w:basedOn w:val="Normal"/>
    <w:uiPriority w:val="99"/>
    <w:rsid w:val="00133873"/>
    <w:pPr>
      <w:spacing w:after="220"/>
    </w:pPr>
  </w:style>
  <w:style w:type="paragraph" w:customStyle="1" w:styleId="ACBody1">
    <w:name w:val="AC Body 1"/>
    <w:basedOn w:val="Body"/>
    <w:uiPriority w:val="99"/>
    <w:rsid w:val="00133873"/>
    <w:pPr>
      <w:ind w:left="720"/>
    </w:pPr>
  </w:style>
  <w:style w:type="paragraph" w:customStyle="1" w:styleId="ACLevel1">
    <w:name w:val="AC Level 1"/>
    <w:basedOn w:val="ACBody1"/>
    <w:uiPriority w:val="99"/>
    <w:rsid w:val="00133873"/>
    <w:pPr>
      <w:numPr>
        <w:numId w:val="5"/>
      </w:numPr>
      <w:outlineLvl w:val="0"/>
    </w:pPr>
  </w:style>
  <w:style w:type="character" w:customStyle="1" w:styleId="ACLevel1asheadingtext">
    <w:name w:val="AC Level 1 as heading (text)"/>
    <w:basedOn w:val="DefaultParagraphFont"/>
    <w:uiPriority w:val="99"/>
    <w:rsid w:val="00133873"/>
    <w:rPr>
      <w:b/>
      <w:bCs/>
    </w:rPr>
  </w:style>
  <w:style w:type="paragraph" w:customStyle="1" w:styleId="ACBody2">
    <w:name w:val="AC Body 2"/>
    <w:basedOn w:val="Body"/>
    <w:uiPriority w:val="99"/>
    <w:rsid w:val="00133873"/>
    <w:pPr>
      <w:ind w:left="1440"/>
    </w:pPr>
  </w:style>
  <w:style w:type="paragraph" w:customStyle="1" w:styleId="ACLevel2">
    <w:name w:val="AC Level 2"/>
    <w:basedOn w:val="ACBody2"/>
    <w:uiPriority w:val="99"/>
    <w:rsid w:val="00133873"/>
    <w:pPr>
      <w:numPr>
        <w:ilvl w:val="1"/>
        <w:numId w:val="5"/>
      </w:numPr>
      <w:outlineLvl w:val="1"/>
    </w:pPr>
  </w:style>
  <w:style w:type="character" w:customStyle="1" w:styleId="ACLevel2asheadingtext">
    <w:name w:val="AC Level 2 as heading (text)"/>
    <w:basedOn w:val="DefaultParagraphFont"/>
    <w:uiPriority w:val="99"/>
    <w:rsid w:val="00133873"/>
    <w:rPr>
      <w:b/>
      <w:bCs/>
    </w:rPr>
  </w:style>
  <w:style w:type="paragraph" w:customStyle="1" w:styleId="ACBody3">
    <w:name w:val="AC Body 3"/>
    <w:basedOn w:val="Body"/>
    <w:uiPriority w:val="99"/>
    <w:rsid w:val="00133873"/>
    <w:pPr>
      <w:ind w:left="2160"/>
    </w:pPr>
  </w:style>
  <w:style w:type="paragraph" w:customStyle="1" w:styleId="ACLevel3">
    <w:name w:val="AC Level 3"/>
    <w:basedOn w:val="ACBody3"/>
    <w:uiPriority w:val="99"/>
    <w:rsid w:val="00133873"/>
    <w:pPr>
      <w:numPr>
        <w:ilvl w:val="2"/>
        <w:numId w:val="5"/>
      </w:numPr>
      <w:outlineLvl w:val="2"/>
    </w:pPr>
  </w:style>
  <w:style w:type="character" w:customStyle="1" w:styleId="ACLevel3asheadingtext">
    <w:name w:val="AC Level 3 as heading (text)"/>
    <w:basedOn w:val="DefaultParagraphFont"/>
    <w:uiPriority w:val="99"/>
    <w:rsid w:val="00133873"/>
    <w:rPr>
      <w:b/>
      <w:bCs/>
    </w:rPr>
  </w:style>
  <w:style w:type="paragraph" w:customStyle="1" w:styleId="ACBody4">
    <w:name w:val="AC Body 4"/>
    <w:basedOn w:val="Body"/>
    <w:uiPriority w:val="99"/>
    <w:rsid w:val="00133873"/>
    <w:pPr>
      <w:ind w:left="2880"/>
    </w:pPr>
  </w:style>
  <w:style w:type="paragraph" w:customStyle="1" w:styleId="ACLevel4">
    <w:name w:val="AC Level 4"/>
    <w:basedOn w:val="ACBody4"/>
    <w:uiPriority w:val="99"/>
    <w:rsid w:val="00133873"/>
    <w:pPr>
      <w:numPr>
        <w:ilvl w:val="3"/>
        <w:numId w:val="5"/>
      </w:numPr>
      <w:outlineLvl w:val="3"/>
    </w:pPr>
  </w:style>
  <w:style w:type="paragraph" w:customStyle="1" w:styleId="ACBody5">
    <w:name w:val="AC Body 5"/>
    <w:basedOn w:val="Body"/>
    <w:uiPriority w:val="99"/>
    <w:rsid w:val="00133873"/>
    <w:pPr>
      <w:ind w:left="3600"/>
    </w:pPr>
  </w:style>
  <w:style w:type="paragraph" w:customStyle="1" w:styleId="ACLevel5">
    <w:name w:val="AC Level 5"/>
    <w:basedOn w:val="ACBody5"/>
    <w:uiPriority w:val="99"/>
    <w:rsid w:val="00133873"/>
    <w:pPr>
      <w:numPr>
        <w:ilvl w:val="4"/>
        <w:numId w:val="5"/>
      </w:numPr>
      <w:outlineLvl w:val="4"/>
    </w:pPr>
  </w:style>
  <w:style w:type="paragraph" w:customStyle="1" w:styleId="ACSchLv1">
    <w:name w:val="AC Sch Lv 1"/>
    <w:basedOn w:val="ACBody1"/>
    <w:uiPriority w:val="99"/>
    <w:rsid w:val="00133873"/>
    <w:pPr>
      <w:numPr>
        <w:numId w:val="10"/>
      </w:numPr>
      <w:outlineLvl w:val="0"/>
    </w:pPr>
  </w:style>
  <w:style w:type="character" w:customStyle="1" w:styleId="ACSchLv1asheadingtext">
    <w:name w:val="AC Sch Lv 1 as heading (text)"/>
    <w:basedOn w:val="DefaultParagraphFont"/>
    <w:uiPriority w:val="99"/>
    <w:rsid w:val="00133873"/>
    <w:rPr>
      <w:b/>
      <w:bCs/>
    </w:rPr>
  </w:style>
  <w:style w:type="paragraph" w:customStyle="1" w:styleId="ACSchLv2">
    <w:name w:val="AC Sch Lv 2"/>
    <w:basedOn w:val="ACBody2"/>
    <w:uiPriority w:val="99"/>
    <w:rsid w:val="00133873"/>
    <w:pPr>
      <w:numPr>
        <w:ilvl w:val="1"/>
        <w:numId w:val="10"/>
      </w:numPr>
      <w:outlineLvl w:val="1"/>
    </w:pPr>
  </w:style>
  <w:style w:type="character" w:customStyle="1" w:styleId="ACSchLv2asheadingtext">
    <w:name w:val="AC Sch Lv 2 as heading (text)"/>
    <w:basedOn w:val="DefaultParagraphFont"/>
    <w:uiPriority w:val="99"/>
    <w:rsid w:val="00133873"/>
    <w:rPr>
      <w:b/>
      <w:bCs/>
    </w:rPr>
  </w:style>
  <w:style w:type="paragraph" w:customStyle="1" w:styleId="ACSchLv3">
    <w:name w:val="AC Sch Lv 3"/>
    <w:basedOn w:val="ACBody3"/>
    <w:uiPriority w:val="99"/>
    <w:rsid w:val="00133873"/>
    <w:pPr>
      <w:numPr>
        <w:ilvl w:val="2"/>
        <w:numId w:val="10"/>
      </w:numPr>
      <w:outlineLvl w:val="2"/>
    </w:pPr>
  </w:style>
  <w:style w:type="character" w:customStyle="1" w:styleId="ACSchLv3asheadingtext">
    <w:name w:val="AC Sch Lv 3 as heading (text)"/>
    <w:basedOn w:val="DefaultParagraphFont"/>
    <w:uiPriority w:val="99"/>
    <w:rsid w:val="00133873"/>
    <w:rPr>
      <w:b/>
      <w:bCs/>
    </w:rPr>
  </w:style>
  <w:style w:type="paragraph" w:customStyle="1" w:styleId="ACSchLv4">
    <w:name w:val="AC Sch Lv 4"/>
    <w:basedOn w:val="ACBody4"/>
    <w:uiPriority w:val="99"/>
    <w:rsid w:val="00133873"/>
    <w:pPr>
      <w:numPr>
        <w:ilvl w:val="3"/>
        <w:numId w:val="10"/>
      </w:numPr>
      <w:outlineLvl w:val="3"/>
    </w:pPr>
  </w:style>
  <w:style w:type="paragraph" w:customStyle="1" w:styleId="ACSchLv5">
    <w:name w:val="AC Sch Lv 5"/>
    <w:basedOn w:val="ACBody5"/>
    <w:uiPriority w:val="99"/>
    <w:rsid w:val="00133873"/>
    <w:pPr>
      <w:numPr>
        <w:ilvl w:val="4"/>
        <w:numId w:val="10"/>
      </w:numPr>
      <w:outlineLvl w:val="4"/>
    </w:pPr>
  </w:style>
  <w:style w:type="paragraph" w:customStyle="1" w:styleId="ACBulletLv1">
    <w:name w:val="AC Bullet Lv 1"/>
    <w:basedOn w:val="ACBody1"/>
    <w:uiPriority w:val="99"/>
    <w:rsid w:val="00133873"/>
    <w:pPr>
      <w:numPr>
        <w:numId w:val="15"/>
      </w:numPr>
      <w:outlineLvl w:val="0"/>
    </w:pPr>
  </w:style>
  <w:style w:type="paragraph" w:customStyle="1" w:styleId="ACBulletLv2">
    <w:name w:val="AC Bullet Lv 2"/>
    <w:basedOn w:val="ACBody2"/>
    <w:uiPriority w:val="99"/>
    <w:rsid w:val="00133873"/>
    <w:pPr>
      <w:numPr>
        <w:ilvl w:val="1"/>
        <w:numId w:val="15"/>
      </w:numPr>
      <w:outlineLvl w:val="1"/>
    </w:pPr>
  </w:style>
  <w:style w:type="paragraph" w:customStyle="1" w:styleId="ACBulletLv3">
    <w:name w:val="AC Bullet Lv 3"/>
    <w:basedOn w:val="ACBody3"/>
    <w:uiPriority w:val="99"/>
    <w:rsid w:val="00133873"/>
    <w:pPr>
      <w:numPr>
        <w:ilvl w:val="2"/>
        <w:numId w:val="15"/>
      </w:numPr>
      <w:outlineLvl w:val="2"/>
    </w:pPr>
  </w:style>
  <w:style w:type="paragraph" w:customStyle="1" w:styleId="ACBulletLv4">
    <w:name w:val="AC Bullet Lv 4"/>
    <w:basedOn w:val="ACBody4"/>
    <w:uiPriority w:val="99"/>
    <w:rsid w:val="00133873"/>
    <w:pPr>
      <w:numPr>
        <w:ilvl w:val="3"/>
        <w:numId w:val="15"/>
      </w:numPr>
      <w:outlineLvl w:val="3"/>
    </w:pPr>
  </w:style>
  <w:style w:type="paragraph" w:customStyle="1" w:styleId="ACBulletLv5">
    <w:name w:val="AC Bullet Lv 5"/>
    <w:basedOn w:val="ACBody5"/>
    <w:uiPriority w:val="99"/>
    <w:rsid w:val="00133873"/>
    <w:pPr>
      <w:numPr>
        <w:ilvl w:val="4"/>
        <w:numId w:val="15"/>
      </w:numPr>
      <w:outlineLvl w:val="4"/>
    </w:pPr>
  </w:style>
  <w:style w:type="paragraph" w:customStyle="1" w:styleId="ACAppendix">
    <w:name w:val="AC Appendix"/>
    <w:basedOn w:val="Body"/>
    <w:next w:val="ACSubHeading"/>
    <w:uiPriority w:val="99"/>
    <w:rsid w:val="00133873"/>
    <w:pPr>
      <w:keepNext/>
      <w:keepLines/>
      <w:numPr>
        <w:ilvl w:val="1"/>
        <w:numId w:val="18"/>
      </w:numPr>
      <w:jc w:val="center"/>
    </w:pPr>
    <w:rPr>
      <w:b/>
      <w:bCs/>
    </w:rPr>
  </w:style>
  <w:style w:type="paragraph" w:customStyle="1" w:styleId="ACPart">
    <w:name w:val="AC Part"/>
    <w:basedOn w:val="Body"/>
    <w:next w:val="ACSubHeading"/>
    <w:uiPriority w:val="99"/>
    <w:rsid w:val="00133873"/>
    <w:pPr>
      <w:keepNext/>
      <w:keepLines/>
      <w:numPr>
        <w:ilvl w:val="2"/>
        <w:numId w:val="18"/>
      </w:numPr>
      <w:jc w:val="center"/>
    </w:pPr>
  </w:style>
  <w:style w:type="paragraph" w:customStyle="1" w:styleId="ACSchedule">
    <w:name w:val="AC Schedule"/>
    <w:basedOn w:val="Body"/>
    <w:next w:val="ACSubHeading"/>
    <w:uiPriority w:val="99"/>
    <w:rsid w:val="00133873"/>
    <w:pPr>
      <w:keepNext/>
      <w:keepLines/>
      <w:numPr>
        <w:numId w:val="18"/>
      </w:numPr>
      <w:jc w:val="center"/>
    </w:pPr>
    <w:rPr>
      <w:b/>
      <w:bCs/>
    </w:rPr>
  </w:style>
  <w:style w:type="paragraph" w:customStyle="1" w:styleId="ACSubHeading">
    <w:name w:val="AC Sub Heading"/>
    <w:basedOn w:val="Body"/>
    <w:next w:val="Body"/>
    <w:uiPriority w:val="99"/>
    <w:rsid w:val="00133873"/>
    <w:pPr>
      <w:keepNext/>
      <w:keepLines/>
      <w:numPr>
        <w:numId w:val="19"/>
      </w:numPr>
      <w:jc w:val="center"/>
    </w:pPr>
    <w:rPr>
      <w:b/>
      <w:bCs/>
    </w:rPr>
  </w:style>
  <w:style w:type="paragraph" w:styleId="EndnoteText">
    <w:name w:val="endnote text"/>
    <w:basedOn w:val="Normal"/>
    <w:link w:val="EndnoteTextChar"/>
    <w:semiHidden/>
    <w:rsid w:val="00133873"/>
    <w:pPr>
      <w:adjustRightInd/>
      <w:spacing w:after="100"/>
    </w:pPr>
    <w:rPr>
      <w:sz w:val="18"/>
      <w:szCs w:val="24"/>
      <w:lang w:eastAsia="en-US"/>
    </w:rPr>
  </w:style>
  <w:style w:type="character" w:customStyle="1" w:styleId="EndnoteTextChar">
    <w:name w:val="Endnote Text Char"/>
    <w:basedOn w:val="DefaultParagraphFont"/>
    <w:link w:val="EndnoteText"/>
    <w:semiHidden/>
    <w:rsid w:val="00133873"/>
    <w:rPr>
      <w:rFonts w:ascii="Times New Roman" w:hAnsi="Times New Roman"/>
      <w:sz w:val="18"/>
      <w:szCs w:val="24"/>
      <w:lang w:eastAsia="en-US"/>
    </w:rPr>
  </w:style>
  <w:style w:type="character" w:styleId="EndnoteReference">
    <w:name w:val="endnote reference"/>
    <w:basedOn w:val="DefaultParagraphFont"/>
    <w:semiHidden/>
    <w:rsid w:val="00133873"/>
    <w:rPr>
      <w:vertAlign w:val="superscript"/>
    </w:rPr>
  </w:style>
  <w:style w:type="paragraph" w:styleId="TOC1">
    <w:name w:val="toc 1"/>
    <w:basedOn w:val="Normal"/>
    <w:next w:val="Normal"/>
    <w:semiHidden/>
    <w:rsid w:val="00133873"/>
    <w:pPr>
      <w:tabs>
        <w:tab w:val="right" w:leader="dot" w:pos="9000"/>
      </w:tabs>
      <w:adjustRightInd/>
      <w:ind w:left="720" w:right="720" w:hanging="720"/>
    </w:pPr>
    <w:rPr>
      <w:caps/>
      <w:szCs w:val="24"/>
      <w:lang w:eastAsia="en-US"/>
    </w:rPr>
  </w:style>
  <w:style w:type="paragraph" w:styleId="TOC2">
    <w:name w:val="toc 2"/>
    <w:basedOn w:val="TOC1"/>
    <w:next w:val="Normal"/>
    <w:semiHidden/>
    <w:rsid w:val="00133873"/>
    <w:pPr>
      <w:ind w:left="1440"/>
    </w:pPr>
    <w:rPr>
      <w:caps w:val="0"/>
    </w:rPr>
  </w:style>
  <w:style w:type="paragraph" w:styleId="TOC3">
    <w:name w:val="toc 3"/>
    <w:basedOn w:val="TOC1"/>
    <w:next w:val="Normal"/>
    <w:semiHidden/>
    <w:rsid w:val="00133873"/>
    <w:pPr>
      <w:ind w:left="2160"/>
    </w:pPr>
    <w:rPr>
      <w:caps w:val="0"/>
    </w:rPr>
  </w:style>
  <w:style w:type="paragraph" w:styleId="TOC4">
    <w:name w:val="toc 4"/>
    <w:basedOn w:val="TOC1"/>
    <w:next w:val="Normal"/>
    <w:semiHidden/>
    <w:rsid w:val="00133873"/>
    <w:pPr>
      <w:spacing w:before="240"/>
      <w:ind w:left="0" w:firstLine="0"/>
    </w:pPr>
    <w:rPr>
      <w:b/>
    </w:rPr>
  </w:style>
  <w:style w:type="paragraph" w:styleId="TOC5">
    <w:name w:val="toc 5"/>
    <w:basedOn w:val="TOC1"/>
    <w:next w:val="Normal"/>
    <w:semiHidden/>
    <w:rsid w:val="00133873"/>
    <w:pPr>
      <w:ind w:left="0" w:firstLine="0"/>
    </w:pPr>
  </w:style>
  <w:style w:type="paragraph" w:styleId="TOC6">
    <w:name w:val="toc 6"/>
    <w:basedOn w:val="TOC1"/>
    <w:next w:val="Normal"/>
    <w:semiHidden/>
    <w:rsid w:val="00133873"/>
    <w:pPr>
      <w:ind w:firstLine="0"/>
    </w:pPr>
    <w:rPr>
      <w:caps w:val="0"/>
    </w:rPr>
  </w:style>
  <w:style w:type="paragraph" w:styleId="CommentSubject">
    <w:name w:val="annotation subject"/>
    <w:basedOn w:val="CommentText"/>
    <w:next w:val="CommentText"/>
    <w:link w:val="CommentSubjectChar"/>
    <w:uiPriority w:val="99"/>
    <w:semiHidden/>
    <w:unhideWhenUsed/>
    <w:rsid w:val="0055207E"/>
    <w:rPr>
      <w:b/>
      <w:bCs/>
      <w:sz w:val="20"/>
      <w:szCs w:val="20"/>
    </w:rPr>
  </w:style>
  <w:style w:type="character" w:customStyle="1" w:styleId="CommentSubjectChar">
    <w:name w:val="Comment Subject Char"/>
    <w:basedOn w:val="CommentTextChar"/>
    <w:link w:val="CommentSubject"/>
    <w:uiPriority w:val="99"/>
    <w:semiHidden/>
    <w:rsid w:val="0055207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8828">
      <w:marLeft w:val="0"/>
      <w:marRight w:val="0"/>
      <w:marTop w:val="0"/>
      <w:marBottom w:val="0"/>
      <w:divBdr>
        <w:top w:val="none" w:sz="0" w:space="0" w:color="auto"/>
        <w:left w:val="none" w:sz="0" w:space="0" w:color="auto"/>
        <w:bottom w:val="none" w:sz="0" w:space="0" w:color="auto"/>
        <w:right w:val="none" w:sz="0" w:space="0" w:color="auto"/>
      </w:divBdr>
      <w:divsChild>
        <w:div w:id="564268829">
          <w:marLeft w:val="1354"/>
          <w:marRight w:val="0"/>
          <w:marTop w:val="0"/>
          <w:marBottom w:val="0"/>
          <w:divBdr>
            <w:top w:val="none" w:sz="0" w:space="0" w:color="auto"/>
            <w:left w:val="none" w:sz="0" w:space="0" w:color="auto"/>
            <w:bottom w:val="none" w:sz="0" w:space="0" w:color="auto"/>
            <w:right w:val="none" w:sz="0" w:space="0" w:color="auto"/>
          </w:divBdr>
        </w:div>
      </w:divsChild>
    </w:div>
    <w:div w:id="564268830">
      <w:marLeft w:val="0"/>
      <w:marRight w:val="0"/>
      <w:marTop w:val="0"/>
      <w:marBottom w:val="0"/>
      <w:divBdr>
        <w:top w:val="none" w:sz="0" w:space="0" w:color="auto"/>
        <w:left w:val="none" w:sz="0" w:space="0" w:color="auto"/>
        <w:bottom w:val="none" w:sz="0" w:space="0" w:color="auto"/>
        <w:right w:val="none" w:sz="0" w:space="0" w:color="auto"/>
      </w:divBdr>
      <w:divsChild>
        <w:div w:id="564268827">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5BD8-2D5A-42F5-B0DC-9533AEDA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Campus</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Mullooly</dc:creator>
  <cp:lastModifiedBy>Noel Boyle</cp:lastModifiedBy>
  <cp:revision>2</cp:revision>
  <cp:lastPrinted>2017-12-01T15:48:00Z</cp:lastPrinted>
  <dcterms:created xsi:type="dcterms:W3CDTF">2018-06-07T14:08:00Z</dcterms:created>
  <dcterms:modified xsi:type="dcterms:W3CDTF">2018-06-07T14:08:00Z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AC#28092804.1</vt:lpwstr>
  </property>
  <property fmtid="{D5CDD505-2E9C-101B-9397-08002B2CF9AE}" pid="3" name="ACMatter">
    <vt:lpwstr>CA442/007/</vt:lpwstr>
  </property>
  <property fmtid="{D5CDD505-2E9C-101B-9397-08002B2CF9AE}" pid="4" name="ACDocType">
    <vt:lpwstr>DOCUMENT</vt:lpwstr>
  </property>
</Properties>
</file>